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C5DE" w14:textId="4EB09BFE" w:rsidR="000662EA" w:rsidRPr="00107BD9" w:rsidRDefault="00C055ED" w:rsidP="00107BD9">
      <w:pPr>
        <w:spacing w:line="480" w:lineRule="auto"/>
        <w:jc w:val="center"/>
        <w:rPr>
          <w:rFonts w:ascii="Cambria" w:hAnsi="Cambria" w:cstheme="minorHAnsi"/>
          <w:b/>
          <w:bCs/>
          <w:sz w:val="22"/>
          <w:szCs w:val="22"/>
          <w:u w:val="single"/>
        </w:rPr>
      </w:pPr>
      <w:r w:rsidRPr="00107BD9">
        <w:rPr>
          <w:rFonts w:ascii="Cambria" w:hAnsi="Cambria" w:cstheme="minorHAnsi"/>
          <w:b/>
          <w:bCs/>
          <w:sz w:val="22"/>
          <w:szCs w:val="22"/>
          <w:u w:val="single"/>
        </w:rPr>
        <w:t>PARECER DAS COMISSÕES PERMANENTES Nº 05</w:t>
      </w:r>
      <w:r w:rsidR="00D96087" w:rsidRPr="00107BD9">
        <w:rPr>
          <w:rFonts w:ascii="Cambria" w:hAnsi="Cambria" w:cstheme="minorHAnsi"/>
          <w:b/>
          <w:bCs/>
          <w:sz w:val="22"/>
          <w:szCs w:val="22"/>
          <w:u w:val="single"/>
        </w:rPr>
        <w:t>7</w:t>
      </w:r>
      <w:r w:rsidRPr="00107BD9">
        <w:rPr>
          <w:rFonts w:ascii="Cambria" w:hAnsi="Cambria" w:cstheme="minorHAnsi"/>
          <w:b/>
          <w:bCs/>
          <w:sz w:val="22"/>
          <w:szCs w:val="22"/>
          <w:u w:val="single"/>
        </w:rPr>
        <w:t>/2025</w:t>
      </w:r>
    </w:p>
    <w:p w14:paraId="26A61A0D" w14:textId="77777777" w:rsidR="00C055ED" w:rsidRPr="00107BD9" w:rsidRDefault="00C055ED" w:rsidP="00107BD9">
      <w:pPr>
        <w:spacing w:line="480" w:lineRule="auto"/>
        <w:jc w:val="center"/>
        <w:rPr>
          <w:rFonts w:ascii="Cambria" w:hAnsi="Cambria" w:cstheme="minorHAnsi"/>
          <w:b/>
          <w:bCs/>
          <w:sz w:val="22"/>
          <w:szCs w:val="22"/>
        </w:rPr>
      </w:pPr>
    </w:p>
    <w:p w14:paraId="16A31834" w14:textId="77777777" w:rsidR="00D96087" w:rsidRPr="00107BD9" w:rsidRDefault="00D96087" w:rsidP="00107BD9">
      <w:pPr>
        <w:spacing w:line="480" w:lineRule="auto"/>
        <w:jc w:val="both"/>
        <w:rPr>
          <w:rFonts w:ascii="Cambria" w:hAnsi="Cambria" w:cstheme="minorHAnsi"/>
          <w:b/>
          <w:bCs/>
          <w:sz w:val="22"/>
          <w:szCs w:val="22"/>
        </w:rPr>
      </w:pPr>
      <w:r w:rsidRPr="00107BD9">
        <w:rPr>
          <w:rFonts w:ascii="Cambria" w:hAnsi="Cambria" w:cstheme="minorHAnsi"/>
          <w:b/>
          <w:bCs/>
          <w:sz w:val="22"/>
          <w:szCs w:val="22"/>
        </w:rPr>
        <w:t>Projetos de Lei nº 037/2025 e nº 038/2025</w:t>
      </w:r>
    </w:p>
    <w:p w14:paraId="5D68FC5A" w14:textId="006C35F7" w:rsidR="00D96087" w:rsidRPr="00107BD9" w:rsidRDefault="00FD37DC" w:rsidP="00107BD9">
      <w:pPr>
        <w:spacing w:line="480" w:lineRule="auto"/>
        <w:jc w:val="both"/>
        <w:rPr>
          <w:rFonts w:ascii="Cambria" w:hAnsi="Cambria" w:cstheme="minorHAnsi"/>
          <w:sz w:val="22"/>
          <w:szCs w:val="22"/>
        </w:rPr>
      </w:pPr>
      <w:r w:rsidRPr="00107BD9">
        <w:rPr>
          <w:rFonts w:ascii="Cambria" w:hAnsi="Cambria" w:cstheme="minorHAnsi"/>
          <w:b/>
          <w:bCs/>
          <w:sz w:val="22"/>
          <w:szCs w:val="22"/>
        </w:rPr>
        <w:t xml:space="preserve">Autoria: </w:t>
      </w:r>
      <w:r w:rsidR="00D96087" w:rsidRPr="00107BD9">
        <w:rPr>
          <w:rFonts w:ascii="Cambria" w:hAnsi="Cambria" w:cstheme="minorHAnsi"/>
          <w:sz w:val="22"/>
          <w:szCs w:val="22"/>
        </w:rPr>
        <w:t>Poder Executivo Municipal de Carnaúba dos Dantas/RN</w:t>
      </w:r>
    </w:p>
    <w:p w14:paraId="748BA84B" w14:textId="06409A46" w:rsidR="001C474C" w:rsidRPr="00107BD9" w:rsidRDefault="00FD37DC" w:rsidP="00107BD9">
      <w:pPr>
        <w:spacing w:line="480" w:lineRule="auto"/>
        <w:jc w:val="both"/>
        <w:rPr>
          <w:rFonts w:ascii="Cambria" w:hAnsi="Cambria" w:cstheme="minorHAnsi"/>
          <w:sz w:val="22"/>
          <w:szCs w:val="22"/>
        </w:rPr>
      </w:pPr>
      <w:r w:rsidRPr="00107BD9">
        <w:rPr>
          <w:rFonts w:ascii="Cambria" w:hAnsi="Cambria" w:cstheme="minorHAnsi"/>
          <w:b/>
          <w:bCs/>
          <w:sz w:val="22"/>
          <w:szCs w:val="22"/>
        </w:rPr>
        <w:t xml:space="preserve">Ementa: </w:t>
      </w:r>
      <w:r w:rsidR="00D96087" w:rsidRPr="00107BD9">
        <w:rPr>
          <w:rFonts w:ascii="Cambria" w:hAnsi="Cambria" w:cstheme="minorHAnsi"/>
          <w:sz w:val="22"/>
          <w:szCs w:val="22"/>
        </w:rPr>
        <w:t>PL nº 037/2025: Altera o art. 6º da Lei nº 1.335/2024 (LOA 2025), elevando de 30% para 45% o limite para abertura de créditos suplementares; e PL nº 038/2025: Dispõe sobre a abertura de crédito especial no valor de R$ 100.000,00 para pagamento de precatórios judiciais e juros de atualização monetária.</w:t>
      </w:r>
    </w:p>
    <w:p w14:paraId="47A0163E" w14:textId="77777777" w:rsidR="00AC61C5" w:rsidRPr="00107BD9" w:rsidRDefault="00AC61C5" w:rsidP="00107BD9">
      <w:pPr>
        <w:spacing w:line="480" w:lineRule="auto"/>
        <w:jc w:val="both"/>
        <w:rPr>
          <w:rFonts w:ascii="Cambria" w:hAnsi="Cambria" w:cstheme="minorHAnsi"/>
          <w:b/>
          <w:bCs/>
          <w:sz w:val="22"/>
          <w:szCs w:val="22"/>
        </w:rPr>
      </w:pPr>
    </w:p>
    <w:p w14:paraId="4765144E" w14:textId="159F62F3" w:rsidR="000662EA" w:rsidRPr="00107BD9" w:rsidRDefault="000662EA" w:rsidP="00107BD9">
      <w:pPr>
        <w:spacing w:line="480" w:lineRule="auto"/>
        <w:rPr>
          <w:rFonts w:ascii="Cambria" w:hAnsi="Cambria" w:cstheme="minorHAnsi"/>
          <w:b/>
          <w:bCs/>
          <w:sz w:val="22"/>
          <w:szCs w:val="22"/>
          <w:u w:val="single"/>
        </w:rPr>
      </w:pPr>
      <w:r w:rsidRPr="00107BD9">
        <w:rPr>
          <w:rFonts w:ascii="Cambria" w:hAnsi="Cambria" w:cstheme="minorHAnsi"/>
          <w:b/>
          <w:bCs/>
          <w:sz w:val="22"/>
          <w:szCs w:val="22"/>
          <w:u w:val="single"/>
        </w:rPr>
        <w:t>I - RELATÓRIO</w:t>
      </w:r>
    </w:p>
    <w:p w14:paraId="2B529285" w14:textId="77777777" w:rsidR="00825C3C" w:rsidRPr="00107BD9" w:rsidRDefault="00825C3C" w:rsidP="00107BD9">
      <w:pPr>
        <w:spacing w:line="480" w:lineRule="auto"/>
        <w:ind w:firstLine="708"/>
        <w:jc w:val="both"/>
        <w:rPr>
          <w:rFonts w:ascii="Cambria" w:hAnsi="Cambria" w:cstheme="minorHAnsi"/>
          <w:sz w:val="22"/>
          <w:szCs w:val="22"/>
        </w:rPr>
      </w:pPr>
      <w:r w:rsidRPr="00107BD9">
        <w:rPr>
          <w:rFonts w:ascii="Cambria" w:hAnsi="Cambria" w:cstheme="minorHAnsi"/>
          <w:sz w:val="22"/>
          <w:szCs w:val="22"/>
        </w:rPr>
        <w:t>Os Projetos de Lei nº 037/2025 e nº 038/2025, de iniciativa do Prefeito Municipal de Carnaúba dos Dantas/RN, foram encaminhados a esta Casa Legislativa visando adequar a execução orçamentária e financeira do Município no exercício de 2025.</w:t>
      </w:r>
    </w:p>
    <w:p w14:paraId="19CBBBC1" w14:textId="77777777" w:rsidR="00825C3C" w:rsidRPr="00107BD9" w:rsidRDefault="00825C3C" w:rsidP="00107BD9">
      <w:pPr>
        <w:spacing w:line="480" w:lineRule="auto"/>
        <w:ind w:firstLine="708"/>
        <w:jc w:val="both"/>
        <w:rPr>
          <w:rFonts w:ascii="Cambria" w:hAnsi="Cambria" w:cstheme="minorHAnsi"/>
          <w:sz w:val="22"/>
          <w:szCs w:val="22"/>
        </w:rPr>
      </w:pPr>
      <w:r w:rsidRPr="00107BD9">
        <w:rPr>
          <w:rFonts w:ascii="Cambria" w:hAnsi="Cambria" w:cstheme="minorHAnsi"/>
          <w:sz w:val="22"/>
          <w:szCs w:val="22"/>
        </w:rPr>
        <w:t>O Projeto de Lei nº 037/2025 altera a Lei nº 1.335/2024, que instituiu a Lei Orçamentária Anual de 2025, ampliando o limite de abertura de créditos suplementares de 30% (trinta por cento) para 45% (quarenta e cinco por cento) do orçamento.</w:t>
      </w:r>
    </w:p>
    <w:p w14:paraId="37EEA0DF" w14:textId="77777777" w:rsidR="00825C3C" w:rsidRPr="00107BD9" w:rsidRDefault="00825C3C" w:rsidP="00107BD9">
      <w:pPr>
        <w:spacing w:line="480" w:lineRule="auto"/>
        <w:ind w:firstLine="708"/>
        <w:jc w:val="both"/>
        <w:rPr>
          <w:rFonts w:ascii="Cambria" w:hAnsi="Cambria" w:cstheme="minorHAnsi"/>
          <w:sz w:val="22"/>
          <w:szCs w:val="22"/>
        </w:rPr>
      </w:pPr>
      <w:r w:rsidRPr="00107BD9">
        <w:rPr>
          <w:rFonts w:ascii="Cambria" w:hAnsi="Cambria" w:cstheme="minorHAnsi"/>
          <w:sz w:val="22"/>
          <w:szCs w:val="22"/>
        </w:rPr>
        <w:t>Já o Projeto de Lei nº 038/2025 trata da abertura de crédito especial, no valor de R$ 100.000,00 (cem mil reais), destinado à Secretaria Municipal de Educação, para atender despesas com precatórios judiciais e juros incidentes sobre o montante, tendo como fonte o excesso de arrecadação do ISSQN.</w:t>
      </w:r>
    </w:p>
    <w:p w14:paraId="59C54EEE" w14:textId="79043774" w:rsidR="00D96087" w:rsidRPr="00107BD9" w:rsidRDefault="00825C3C" w:rsidP="00107BD9">
      <w:pPr>
        <w:spacing w:line="480" w:lineRule="auto"/>
        <w:ind w:firstLine="708"/>
        <w:jc w:val="both"/>
        <w:rPr>
          <w:rFonts w:ascii="Cambria" w:hAnsi="Cambria" w:cstheme="minorHAnsi"/>
          <w:sz w:val="22"/>
          <w:szCs w:val="22"/>
        </w:rPr>
      </w:pPr>
      <w:r w:rsidRPr="00107BD9">
        <w:rPr>
          <w:rFonts w:ascii="Cambria" w:hAnsi="Cambria" w:cstheme="minorHAnsi"/>
          <w:sz w:val="22"/>
          <w:szCs w:val="22"/>
        </w:rPr>
        <w:t>Nos termos do art. 22 e 23 do Regimento Interno da Câmara Municipal de Carnaúba dos Dantas/RN, a matéria foi devidamente distribuída à Comissão de Constituição, Justiça e Redação Final e à Comissão de Finanças e Orçamento</w:t>
      </w:r>
      <w:r w:rsidR="00D96087" w:rsidRPr="00107BD9">
        <w:rPr>
          <w:rFonts w:ascii="Cambria" w:hAnsi="Cambria" w:cstheme="minorHAnsi"/>
          <w:sz w:val="22"/>
          <w:szCs w:val="22"/>
        </w:rPr>
        <w:t>.</w:t>
      </w:r>
    </w:p>
    <w:p w14:paraId="514157E8" w14:textId="77777777" w:rsidR="00C055ED" w:rsidRPr="00107BD9" w:rsidRDefault="00C055ED" w:rsidP="00107BD9">
      <w:pPr>
        <w:spacing w:line="480" w:lineRule="auto"/>
        <w:jc w:val="both"/>
        <w:rPr>
          <w:rFonts w:ascii="Cambria" w:hAnsi="Cambria" w:cstheme="minorHAnsi"/>
          <w:sz w:val="22"/>
          <w:szCs w:val="22"/>
        </w:rPr>
      </w:pPr>
    </w:p>
    <w:p w14:paraId="288F67A0" w14:textId="7A575827" w:rsidR="000662EA" w:rsidRPr="00107BD9" w:rsidRDefault="000662EA" w:rsidP="00107BD9">
      <w:pPr>
        <w:spacing w:line="480" w:lineRule="auto"/>
        <w:rPr>
          <w:rFonts w:ascii="Cambria" w:hAnsi="Cambria" w:cstheme="minorHAnsi"/>
          <w:b/>
          <w:bCs/>
          <w:sz w:val="22"/>
          <w:szCs w:val="22"/>
          <w:u w:val="single"/>
        </w:rPr>
      </w:pPr>
      <w:r w:rsidRPr="00107BD9">
        <w:rPr>
          <w:rFonts w:ascii="Cambria" w:hAnsi="Cambria" w:cstheme="minorHAnsi"/>
          <w:b/>
          <w:bCs/>
          <w:sz w:val="22"/>
          <w:szCs w:val="22"/>
          <w:u w:val="single"/>
        </w:rPr>
        <w:lastRenderedPageBreak/>
        <w:t xml:space="preserve">II - ANÁLISE JURÍDICA </w:t>
      </w:r>
    </w:p>
    <w:p w14:paraId="12B209DD" w14:textId="0CBFBB96" w:rsidR="00662EB7" w:rsidRPr="00107BD9" w:rsidRDefault="00662EB7" w:rsidP="00107BD9">
      <w:pPr>
        <w:spacing w:line="480" w:lineRule="auto"/>
        <w:jc w:val="both"/>
        <w:rPr>
          <w:rFonts w:ascii="Cambria" w:hAnsi="Cambria" w:cstheme="minorHAnsi"/>
          <w:b/>
          <w:bCs/>
          <w:sz w:val="22"/>
          <w:szCs w:val="22"/>
        </w:rPr>
      </w:pPr>
      <w:r w:rsidRPr="00107BD9">
        <w:rPr>
          <w:rFonts w:ascii="Cambria" w:hAnsi="Cambria" w:cstheme="minorHAnsi"/>
          <w:b/>
          <w:bCs/>
          <w:sz w:val="22"/>
          <w:szCs w:val="22"/>
        </w:rPr>
        <w:t>2.1. PL nº 03</w:t>
      </w:r>
      <w:r w:rsidR="005A3093" w:rsidRPr="00107BD9">
        <w:rPr>
          <w:rFonts w:ascii="Cambria" w:hAnsi="Cambria" w:cstheme="minorHAnsi"/>
          <w:b/>
          <w:bCs/>
          <w:sz w:val="22"/>
          <w:szCs w:val="22"/>
        </w:rPr>
        <w:t>7</w:t>
      </w:r>
      <w:r w:rsidRPr="00107BD9">
        <w:rPr>
          <w:rFonts w:ascii="Cambria" w:hAnsi="Cambria" w:cstheme="minorHAnsi"/>
          <w:b/>
          <w:bCs/>
          <w:sz w:val="22"/>
          <w:szCs w:val="22"/>
        </w:rPr>
        <w:t>/2025</w:t>
      </w:r>
    </w:p>
    <w:p w14:paraId="40667E15" w14:textId="64CFCB2A" w:rsidR="00662EB7" w:rsidRPr="00107BD9" w:rsidRDefault="00662EB7" w:rsidP="00107BD9">
      <w:pPr>
        <w:spacing w:line="480" w:lineRule="auto"/>
        <w:ind w:firstLine="709"/>
        <w:jc w:val="both"/>
        <w:rPr>
          <w:rFonts w:ascii="Cambria" w:hAnsi="Cambria" w:cstheme="minorHAnsi"/>
          <w:sz w:val="22"/>
          <w:szCs w:val="22"/>
        </w:rPr>
      </w:pPr>
      <w:r w:rsidRPr="00107BD9">
        <w:rPr>
          <w:rFonts w:ascii="Cambria" w:hAnsi="Cambria" w:cstheme="minorHAnsi"/>
          <w:sz w:val="22"/>
          <w:szCs w:val="22"/>
        </w:rPr>
        <w:t xml:space="preserve">O Projeto de Lei nº 037/2025 trata de majoração do limite para abertura de créditos suplementares, o que, em termos jurídicos, possui caráter meramente </w:t>
      </w:r>
      <w:r w:rsidRPr="00107BD9">
        <w:rPr>
          <w:rFonts w:ascii="Cambria" w:hAnsi="Cambria" w:cstheme="minorHAnsi"/>
          <w:b/>
          <w:bCs/>
          <w:sz w:val="22"/>
          <w:szCs w:val="22"/>
        </w:rPr>
        <w:t>autorizativo</w:t>
      </w:r>
      <w:r w:rsidRPr="00107BD9">
        <w:rPr>
          <w:rFonts w:ascii="Cambria" w:hAnsi="Cambria" w:cstheme="minorHAnsi"/>
          <w:sz w:val="22"/>
          <w:szCs w:val="22"/>
        </w:rPr>
        <w:t>. Não se trata de criação imediata de despesa, mas de conferir maior margem de flexibilidade à execução orçamentária.</w:t>
      </w:r>
    </w:p>
    <w:p w14:paraId="36FFB67C" w14:textId="77777777" w:rsidR="00662EB7" w:rsidRPr="00107BD9" w:rsidRDefault="00662EB7" w:rsidP="00107BD9">
      <w:pPr>
        <w:spacing w:line="480" w:lineRule="auto"/>
        <w:ind w:firstLine="709"/>
        <w:jc w:val="both"/>
        <w:rPr>
          <w:rFonts w:ascii="Cambria" w:hAnsi="Cambria" w:cstheme="minorHAnsi"/>
          <w:sz w:val="22"/>
          <w:szCs w:val="22"/>
        </w:rPr>
      </w:pPr>
      <w:r w:rsidRPr="00107BD9">
        <w:rPr>
          <w:rFonts w:ascii="Cambria" w:hAnsi="Cambria" w:cstheme="minorHAnsi"/>
          <w:sz w:val="22"/>
          <w:szCs w:val="22"/>
        </w:rPr>
        <w:t>Nos termos do art. 42 da Lei nº 4.320/1964, os créditos suplementares devem ser autorizados por lei e abertos por decreto executivo, observando a existência de recursos disponíveis, conforme art. 43 do mesmo diploma. Assim, mesmo com o aumento do limite para 45%, cada abertura de crédito suplementar dependerá de demonstração de fonte de recursos válida, como excesso de arrecadação, superávit financeiro, anulação de dotações ou operações de crédito.</w:t>
      </w:r>
    </w:p>
    <w:p w14:paraId="0B087822" w14:textId="77777777" w:rsidR="00662EB7" w:rsidRPr="00107BD9" w:rsidRDefault="00662EB7" w:rsidP="00107BD9">
      <w:pPr>
        <w:spacing w:line="480" w:lineRule="auto"/>
        <w:ind w:firstLine="709"/>
        <w:jc w:val="both"/>
        <w:rPr>
          <w:rFonts w:ascii="Cambria" w:hAnsi="Cambria" w:cstheme="minorHAnsi"/>
          <w:sz w:val="22"/>
          <w:szCs w:val="22"/>
        </w:rPr>
      </w:pPr>
      <w:r w:rsidRPr="00107BD9">
        <w:rPr>
          <w:rFonts w:ascii="Cambria" w:hAnsi="Cambria" w:cstheme="minorHAnsi"/>
          <w:sz w:val="22"/>
          <w:szCs w:val="22"/>
        </w:rPr>
        <w:t xml:space="preserve">A justificativa do Executivo mencionou medidas como novas contratações e aumento da carga horária de servidores, que </w:t>
      </w:r>
      <w:r w:rsidRPr="00107BD9">
        <w:rPr>
          <w:rFonts w:ascii="Cambria" w:hAnsi="Cambria" w:cstheme="minorHAnsi"/>
          <w:b/>
          <w:bCs/>
          <w:sz w:val="22"/>
          <w:szCs w:val="22"/>
        </w:rPr>
        <w:t>já ocorreram no exercício de 2025</w:t>
      </w:r>
      <w:r w:rsidRPr="00107BD9">
        <w:rPr>
          <w:rFonts w:ascii="Cambria" w:hAnsi="Cambria" w:cstheme="minorHAnsi"/>
          <w:sz w:val="22"/>
          <w:szCs w:val="22"/>
        </w:rPr>
        <w:t>, acarretando aumento de despesa obrigatória. Nesse contexto, o Estudo de Impacto Orçamentário-Financeiro (EIOF) era exigível quando da implementação dessas medidas, mas não se impõe como requisito para aprovação do presente projeto, que apenas majora um limite autorizativo.</w:t>
      </w:r>
    </w:p>
    <w:p w14:paraId="120B79C9" w14:textId="2DEDFA05" w:rsidR="00107BD9" w:rsidRDefault="00662EB7" w:rsidP="00107BD9">
      <w:pPr>
        <w:spacing w:line="480" w:lineRule="auto"/>
        <w:ind w:firstLine="709"/>
        <w:jc w:val="both"/>
        <w:rPr>
          <w:rFonts w:ascii="Cambria" w:hAnsi="Cambria" w:cstheme="minorHAnsi"/>
          <w:sz w:val="22"/>
          <w:szCs w:val="22"/>
        </w:rPr>
      </w:pPr>
      <w:r w:rsidRPr="00107BD9">
        <w:rPr>
          <w:rFonts w:ascii="Cambria" w:hAnsi="Cambria" w:cstheme="minorHAnsi"/>
          <w:b/>
          <w:bCs/>
          <w:sz w:val="22"/>
          <w:szCs w:val="22"/>
        </w:rPr>
        <w:t>Recomendação:</w:t>
      </w:r>
      <w:r w:rsidRPr="00107BD9">
        <w:rPr>
          <w:rFonts w:ascii="Cambria" w:hAnsi="Cambria" w:cstheme="minorHAnsi"/>
          <w:sz w:val="22"/>
          <w:szCs w:val="22"/>
        </w:rPr>
        <w:t xml:space="preserve"> Ainda que o PL 037/2025 seja de caráter autorizativo, recomenda-se que o Executivo encaminhe aos vereadores os Estudos de Impacto Orçamentário-Financeiro </w:t>
      </w:r>
      <w:r w:rsidRPr="00107BD9">
        <w:rPr>
          <w:rFonts w:ascii="Cambria" w:hAnsi="Cambria" w:cstheme="minorHAnsi"/>
          <w:sz w:val="22"/>
          <w:szCs w:val="22"/>
          <w:u w:val="single"/>
        </w:rPr>
        <w:t>sempre que adotar medidas que impliquem aumento de despesa obrigatória</w:t>
      </w:r>
      <w:r w:rsidRPr="00107BD9">
        <w:rPr>
          <w:rFonts w:ascii="Cambria" w:hAnsi="Cambria" w:cstheme="minorHAnsi"/>
          <w:sz w:val="22"/>
          <w:szCs w:val="22"/>
        </w:rPr>
        <w:t>, garantindo transparência e subsidiando a atividade fiscalizatória desta Casa Legislativa.</w:t>
      </w:r>
    </w:p>
    <w:p w14:paraId="0EBA492C" w14:textId="77777777" w:rsidR="00107BD9" w:rsidRDefault="00107BD9" w:rsidP="00107BD9">
      <w:pPr>
        <w:spacing w:line="480" w:lineRule="auto"/>
        <w:ind w:firstLine="709"/>
        <w:jc w:val="both"/>
        <w:rPr>
          <w:rFonts w:ascii="Cambria" w:hAnsi="Cambria" w:cstheme="minorHAnsi"/>
          <w:sz w:val="22"/>
          <w:szCs w:val="22"/>
        </w:rPr>
      </w:pPr>
    </w:p>
    <w:p w14:paraId="5FAFB66A" w14:textId="77777777" w:rsidR="00107BD9" w:rsidRDefault="00107BD9" w:rsidP="00107BD9">
      <w:pPr>
        <w:spacing w:line="480" w:lineRule="auto"/>
        <w:ind w:firstLine="709"/>
        <w:jc w:val="both"/>
        <w:rPr>
          <w:rFonts w:ascii="Cambria" w:hAnsi="Cambria" w:cstheme="minorHAnsi"/>
          <w:sz w:val="22"/>
          <w:szCs w:val="22"/>
        </w:rPr>
      </w:pPr>
    </w:p>
    <w:p w14:paraId="5E6FC6DD" w14:textId="77777777" w:rsidR="00107BD9" w:rsidRPr="00107BD9" w:rsidRDefault="00107BD9" w:rsidP="00107BD9">
      <w:pPr>
        <w:spacing w:line="480" w:lineRule="auto"/>
        <w:ind w:firstLine="709"/>
        <w:jc w:val="both"/>
        <w:rPr>
          <w:rFonts w:ascii="Cambria" w:hAnsi="Cambria" w:cstheme="minorHAnsi"/>
          <w:sz w:val="22"/>
          <w:szCs w:val="22"/>
        </w:rPr>
      </w:pPr>
    </w:p>
    <w:p w14:paraId="77F71C7D" w14:textId="044794B4" w:rsidR="00662EB7" w:rsidRPr="00107BD9" w:rsidRDefault="00662EB7" w:rsidP="00107BD9">
      <w:pPr>
        <w:spacing w:line="480" w:lineRule="auto"/>
        <w:jc w:val="both"/>
        <w:rPr>
          <w:rFonts w:ascii="Cambria" w:hAnsi="Cambria" w:cstheme="minorHAnsi"/>
          <w:b/>
          <w:bCs/>
          <w:sz w:val="22"/>
          <w:szCs w:val="22"/>
        </w:rPr>
      </w:pPr>
      <w:r w:rsidRPr="00107BD9">
        <w:rPr>
          <w:rFonts w:ascii="Cambria" w:hAnsi="Cambria" w:cstheme="minorHAnsi"/>
          <w:b/>
          <w:bCs/>
          <w:sz w:val="22"/>
          <w:szCs w:val="22"/>
        </w:rPr>
        <w:lastRenderedPageBreak/>
        <w:t>2.2. PL nº 038/2025</w:t>
      </w:r>
    </w:p>
    <w:p w14:paraId="580EEAA5" w14:textId="2EBCDEF6" w:rsidR="00662EB7" w:rsidRPr="00107BD9" w:rsidRDefault="00662EB7" w:rsidP="00107BD9">
      <w:pPr>
        <w:spacing w:line="480" w:lineRule="auto"/>
        <w:jc w:val="both"/>
        <w:rPr>
          <w:rFonts w:ascii="Cambria" w:hAnsi="Cambria" w:cstheme="minorHAnsi"/>
          <w:b/>
          <w:bCs/>
          <w:sz w:val="22"/>
          <w:szCs w:val="22"/>
        </w:rPr>
      </w:pPr>
      <w:r w:rsidRPr="00107BD9">
        <w:rPr>
          <w:rFonts w:ascii="Cambria" w:hAnsi="Cambria" w:cstheme="minorHAnsi"/>
          <w:b/>
          <w:bCs/>
          <w:sz w:val="22"/>
          <w:szCs w:val="22"/>
        </w:rPr>
        <w:tab/>
      </w:r>
      <w:r w:rsidRPr="00107BD9">
        <w:rPr>
          <w:rFonts w:ascii="Cambria" w:hAnsi="Cambria" w:cstheme="minorHAnsi"/>
          <w:sz w:val="22"/>
          <w:szCs w:val="22"/>
        </w:rPr>
        <w:t>O Projeto de Lei nº 038/2025 tem por finalidade autorizar crédito especial para quitação de precatórios judiciais e seus encargos. Trata-se de despesa obrigatória, prevista no art. 100 da Constituição Federal, que impõe ao ente público o dever de incluir no orçamento os valores devidos por sentenças judiciais transitadas em julgado.</w:t>
      </w:r>
    </w:p>
    <w:p w14:paraId="137A0BE9" w14:textId="1D9D6956" w:rsidR="00107BD9" w:rsidRDefault="00662EB7" w:rsidP="00107BD9">
      <w:pPr>
        <w:spacing w:line="480" w:lineRule="auto"/>
        <w:ind w:firstLine="709"/>
        <w:jc w:val="both"/>
        <w:rPr>
          <w:rFonts w:ascii="Cambria" w:hAnsi="Cambria" w:cstheme="minorHAnsi"/>
          <w:sz w:val="22"/>
          <w:szCs w:val="22"/>
        </w:rPr>
      </w:pPr>
      <w:r w:rsidRPr="00107BD9">
        <w:rPr>
          <w:rFonts w:ascii="Cambria" w:hAnsi="Cambria" w:cstheme="minorHAnsi"/>
          <w:sz w:val="22"/>
          <w:szCs w:val="22"/>
        </w:rPr>
        <w:t>O crédito especial encontra amparo no art. 42 da Lei nº 4.320/1964, que exige autorização legislativa, e no art. 43 do mesmo diploma, que determina a indicação da origem dos recursos. No caso, a cobertura do crédito se dá pelo excesso de arrecadação do ISSQN, receita própria do Município.</w:t>
      </w:r>
    </w:p>
    <w:p w14:paraId="330F2517" w14:textId="77777777" w:rsidR="00107BD9" w:rsidRPr="00107BD9" w:rsidRDefault="00107BD9" w:rsidP="00107BD9">
      <w:pPr>
        <w:spacing w:line="480" w:lineRule="auto"/>
        <w:ind w:firstLine="709"/>
        <w:jc w:val="both"/>
        <w:rPr>
          <w:rFonts w:ascii="Cambria" w:hAnsi="Cambria" w:cstheme="minorHAnsi"/>
          <w:sz w:val="22"/>
          <w:szCs w:val="22"/>
        </w:rPr>
      </w:pPr>
    </w:p>
    <w:p w14:paraId="4AF7EA5A" w14:textId="6C50E3AC" w:rsidR="00662EB7" w:rsidRPr="00107BD9" w:rsidRDefault="00662EB7" w:rsidP="00107BD9">
      <w:pPr>
        <w:pStyle w:val="PargrafodaLista"/>
        <w:numPr>
          <w:ilvl w:val="0"/>
          <w:numId w:val="6"/>
        </w:numPr>
        <w:spacing w:line="480" w:lineRule="auto"/>
        <w:jc w:val="both"/>
        <w:rPr>
          <w:rFonts w:ascii="Cambria" w:hAnsi="Cambria" w:cstheme="minorHAnsi"/>
          <w:b/>
          <w:bCs/>
          <w:sz w:val="22"/>
          <w:szCs w:val="22"/>
          <w:u w:val="single"/>
        </w:rPr>
      </w:pPr>
      <w:r w:rsidRPr="00107BD9">
        <w:rPr>
          <w:rFonts w:ascii="Cambria" w:hAnsi="Cambria" w:cstheme="minorHAnsi"/>
          <w:b/>
          <w:bCs/>
          <w:sz w:val="22"/>
          <w:szCs w:val="22"/>
          <w:u w:val="single"/>
        </w:rPr>
        <w:t>Classificação da despesa</w:t>
      </w:r>
    </w:p>
    <w:p w14:paraId="23E64907" w14:textId="77777777" w:rsidR="00662EB7" w:rsidRPr="00107BD9" w:rsidRDefault="00662EB7" w:rsidP="00107BD9">
      <w:pPr>
        <w:spacing w:line="480" w:lineRule="auto"/>
        <w:ind w:firstLine="709"/>
        <w:jc w:val="both"/>
        <w:rPr>
          <w:rFonts w:ascii="Cambria" w:hAnsi="Cambria" w:cstheme="minorHAnsi"/>
          <w:sz w:val="22"/>
          <w:szCs w:val="22"/>
        </w:rPr>
      </w:pPr>
      <w:r w:rsidRPr="00107BD9">
        <w:rPr>
          <w:rFonts w:ascii="Cambria" w:hAnsi="Cambria" w:cstheme="minorHAnsi"/>
          <w:sz w:val="22"/>
          <w:szCs w:val="22"/>
        </w:rPr>
        <w:t xml:space="preserve">Na versão inicial, a despesa foi classificada no elemento 4.6.90.71 – Dívida Contratual Resgatado. A Comissão apontou a necessidade de correção para 3.3.90.91 – Sentenças Judiciais. Em resposta, a Prefeitura fundamentou o uso do elemento 71 no </w:t>
      </w:r>
      <w:r w:rsidRPr="00107BD9">
        <w:rPr>
          <w:rFonts w:ascii="Cambria" w:hAnsi="Cambria" w:cstheme="minorHAnsi"/>
          <w:b/>
          <w:bCs/>
          <w:sz w:val="22"/>
          <w:szCs w:val="22"/>
        </w:rPr>
        <w:t>art. 105, §2º da Lei nº 4.320/1964</w:t>
      </w:r>
      <w:r w:rsidRPr="00107BD9">
        <w:rPr>
          <w:rFonts w:ascii="Cambria" w:hAnsi="Cambria" w:cstheme="minorHAnsi"/>
          <w:sz w:val="22"/>
          <w:szCs w:val="22"/>
        </w:rPr>
        <w:t xml:space="preserve">, no </w:t>
      </w:r>
      <w:r w:rsidRPr="00107BD9">
        <w:rPr>
          <w:rFonts w:ascii="Cambria" w:hAnsi="Cambria" w:cstheme="minorHAnsi"/>
          <w:b/>
          <w:bCs/>
          <w:sz w:val="22"/>
          <w:szCs w:val="22"/>
        </w:rPr>
        <w:t>MCASP (9ª edição)</w:t>
      </w:r>
      <w:r w:rsidRPr="00107BD9">
        <w:rPr>
          <w:rFonts w:ascii="Cambria" w:hAnsi="Cambria" w:cstheme="minorHAnsi"/>
          <w:sz w:val="22"/>
          <w:szCs w:val="22"/>
        </w:rPr>
        <w:t xml:space="preserve"> e na </w:t>
      </w:r>
      <w:r w:rsidRPr="00107BD9">
        <w:rPr>
          <w:rFonts w:ascii="Cambria" w:hAnsi="Cambria" w:cstheme="minorHAnsi"/>
          <w:b/>
          <w:bCs/>
          <w:sz w:val="22"/>
          <w:szCs w:val="22"/>
        </w:rPr>
        <w:t>NBC TSP</w:t>
      </w:r>
      <w:r w:rsidRPr="00107BD9">
        <w:rPr>
          <w:rFonts w:ascii="Cambria" w:hAnsi="Cambria" w:cstheme="minorHAnsi"/>
          <w:sz w:val="22"/>
          <w:szCs w:val="22"/>
        </w:rPr>
        <w:t>, que determinam que precatórios não pagos no exercício de sua inscrição orçamentária devem ser registrados como dívida fundada. Nessa hipótese, os pagamentos subsequentes configuram amortização da dívida, devendo ser classificados no elemento 4.6.90.71.</w:t>
      </w:r>
    </w:p>
    <w:p w14:paraId="25A9CC9C" w14:textId="670EB6C0" w:rsidR="00107BD9" w:rsidRDefault="00662EB7" w:rsidP="00107BD9">
      <w:pPr>
        <w:spacing w:line="480" w:lineRule="auto"/>
        <w:ind w:firstLine="709"/>
        <w:jc w:val="both"/>
        <w:rPr>
          <w:rFonts w:ascii="Cambria" w:hAnsi="Cambria" w:cstheme="minorHAnsi"/>
          <w:sz w:val="22"/>
          <w:szCs w:val="22"/>
        </w:rPr>
      </w:pPr>
      <w:r w:rsidRPr="00107BD9">
        <w:rPr>
          <w:rFonts w:ascii="Cambria" w:hAnsi="Cambria" w:cstheme="minorHAnsi"/>
          <w:sz w:val="22"/>
          <w:szCs w:val="22"/>
        </w:rPr>
        <w:t xml:space="preserve">Tal fundamentação é tecnicamente válida, mas sua aplicação depende de comprovação contábil efetiva de que os precatórios foram de fato </w:t>
      </w:r>
      <w:r w:rsidRPr="00107BD9">
        <w:rPr>
          <w:rFonts w:ascii="Cambria" w:hAnsi="Cambria" w:cstheme="minorHAnsi"/>
          <w:b/>
          <w:bCs/>
          <w:sz w:val="22"/>
          <w:szCs w:val="22"/>
        </w:rPr>
        <w:t>registrados como dívida fundada</w:t>
      </w:r>
      <w:r w:rsidRPr="00107BD9">
        <w:rPr>
          <w:rFonts w:ascii="Cambria" w:hAnsi="Cambria" w:cstheme="minorHAnsi"/>
          <w:sz w:val="22"/>
          <w:szCs w:val="22"/>
        </w:rPr>
        <w:t xml:space="preserve"> no Anexo 16 da Lei nº 4.320/1964. Caso contrário, permanece aplicável a natureza 3.3.90.91 – Sentenças Judiciais.</w:t>
      </w:r>
    </w:p>
    <w:p w14:paraId="3A74ACA5" w14:textId="77777777" w:rsidR="00107BD9" w:rsidRDefault="00107BD9" w:rsidP="00107BD9">
      <w:pPr>
        <w:spacing w:line="480" w:lineRule="auto"/>
        <w:ind w:firstLine="709"/>
        <w:jc w:val="both"/>
        <w:rPr>
          <w:rFonts w:ascii="Cambria" w:hAnsi="Cambria" w:cstheme="minorHAnsi"/>
          <w:sz w:val="22"/>
          <w:szCs w:val="22"/>
        </w:rPr>
      </w:pPr>
    </w:p>
    <w:p w14:paraId="69D26AF6" w14:textId="77777777" w:rsidR="00107BD9" w:rsidRPr="00107BD9" w:rsidRDefault="00107BD9" w:rsidP="00107BD9">
      <w:pPr>
        <w:spacing w:line="480" w:lineRule="auto"/>
        <w:ind w:firstLine="709"/>
        <w:jc w:val="both"/>
        <w:rPr>
          <w:rFonts w:ascii="Cambria" w:hAnsi="Cambria" w:cstheme="minorHAnsi"/>
          <w:sz w:val="22"/>
          <w:szCs w:val="22"/>
        </w:rPr>
      </w:pPr>
    </w:p>
    <w:p w14:paraId="3981B36C" w14:textId="77777777" w:rsidR="00662EB7" w:rsidRPr="00107BD9" w:rsidRDefault="00662EB7" w:rsidP="00107BD9">
      <w:pPr>
        <w:pStyle w:val="PargrafodaLista"/>
        <w:numPr>
          <w:ilvl w:val="0"/>
          <w:numId w:val="6"/>
        </w:numPr>
        <w:spacing w:line="480" w:lineRule="auto"/>
        <w:jc w:val="both"/>
        <w:rPr>
          <w:rFonts w:ascii="Cambria" w:hAnsi="Cambria" w:cstheme="minorHAnsi"/>
          <w:b/>
          <w:bCs/>
          <w:sz w:val="22"/>
          <w:szCs w:val="22"/>
          <w:u w:val="single"/>
        </w:rPr>
      </w:pPr>
      <w:r w:rsidRPr="00107BD9">
        <w:rPr>
          <w:rFonts w:ascii="Cambria" w:hAnsi="Cambria" w:cstheme="minorHAnsi"/>
          <w:b/>
          <w:bCs/>
          <w:sz w:val="22"/>
          <w:szCs w:val="22"/>
          <w:u w:val="single"/>
        </w:rPr>
        <w:lastRenderedPageBreak/>
        <w:t>Fonte de recursos</w:t>
      </w:r>
    </w:p>
    <w:p w14:paraId="58D87442" w14:textId="365DF83D" w:rsidR="00107BD9" w:rsidRPr="00107BD9" w:rsidRDefault="00662EB7" w:rsidP="00107BD9">
      <w:pPr>
        <w:spacing w:line="480" w:lineRule="auto"/>
        <w:ind w:firstLine="709"/>
        <w:jc w:val="both"/>
        <w:rPr>
          <w:rFonts w:ascii="Cambria" w:hAnsi="Cambria" w:cstheme="minorHAnsi"/>
          <w:b/>
          <w:bCs/>
          <w:sz w:val="22"/>
          <w:szCs w:val="22"/>
        </w:rPr>
      </w:pPr>
      <w:r w:rsidRPr="00107BD9">
        <w:rPr>
          <w:rFonts w:ascii="Cambria" w:eastAsia="Times New Roman" w:hAnsi="Cambria" w:cs="Times New Roman"/>
          <w:kern w:val="0"/>
          <w:sz w:val="22"/>
          <w:szCs w:val="22"/>
          <w:lang w:eastAsia="pt-BR" w:bidi="ar-SA"/>
        </w:rPr>
        <w:t xml:space="preserve">A Prefeitura defendeu a utilização da </w:t>
      </w:r>
      <w:r w:rsidRPr="00107BD9">
        <w:rPr>
          <w:rFonts w:ascii="Cambria" w:eastAsia="Times New Roman" w:hAnsi="Cambria" w:cs="Times New Roman"/>
          <w:b/>
          <w:bCs/>
          <w:kern w:val="0"/>
          <w:sz w:val="22"/>
          <w:szCs w:val="22"/>
          <w:lang w:eastAsia="pt-BR" w:bidi="ar-SA"/>
        </w:rPr>
        <w:t>fonte 1.500.1001 (MDE)</w:t>
      </w:r>
      <w:r w:rsidRPr="00107BD9">
        <w:rPr>
          <w:rFonts w:ascii="Cambria" w:eastAsia="Times New Roman" w:hAnsi="Cambria" w:cs="Times New Roman"/>
          <w:kern w:val="0"/>
          <w:sz w:val="22"/>
          <w:szCs w:val="22"/>
          <w:lang w:eastAsia="pt-BR" w:bidi="ar-SA"/>
        </w:rPr>
        <w:t xml:space="preserve">, com base no </w:t>
      </w:r>
      <w:r w:rsidRPr="00107BD9">
        <w:rPr>
          <w:rFonts w:ascii="Cambria" w:eastAsia="Times New Roman" w:hAnsi="Cambria" w:cs="Times New Roman"/>
          <w:b/>
          <w:bCs/>
          <w:kern w:val="0"/>
          <w:sz w:val="22"/>
          <w:szCs w:val="22"/>
          <w:lang w:eastAsia="pt-BR" w:bidi="ar-SA"/>
        </w:rPr>
        <w:t>art. 212 da Constituição Federal</w:t>
      </w:r>
      <w:r w:rsidRPr="00107BD9">
        <w:rPr>
          <w:rFonts w:ascii="Cambria" w:eastAsia="Times New Roman" w:hAnsi="Cambria" w:cs="Times New Roman"/>
          <w:kern w:val="0"/>
          <w:sz w:val="22"/>
          <w:szCs w:val="22"/>
          <w:lang w:eastAsia="pt-BR" w:bidi="ar-SA"/>
        </w:rPr>
        <w:t xml:space="preserve">, no </w:t>
      </w:r>
      <w:r w:rsidRPr="00107BD9">
        <w:rPr>
          <w:rFonts w:ascii="Cambria" w:eastAsia="Times New Roman" w:hAnsi="Cambria" w:cs="Times New Roman"/>
          <w:b/>
          <w:bCs/>
          <w:kern w:val="0"/>
          <w:sz w:val="22"/>
          <w:szCs w:val="22"/>
          <w:lang w:eastAsia="pt-BR" w:bidi="ar-SA"/>
        </w:rPr>
        <w:t>art. 70 da Lei nº 9.394/96 (LDB)</w:t>
      </w:r>
      <w:r w:rsidRPr="00107BD9">
        <w:rPr>
          <w:rFonts w:ascii="Cambria" w:eastAsia="Times New Roman" w:hAnsi="Cambria" w:cs="Times New Roman"/>
          <w:kern w:val="0"/>
          <w:sz w:val="22"/>
          <w:szCs w:val="22"/>
          <w:lang w:eastAsia="pt-BR" w:bidi="ar-SA"/>
        </w:rPr>
        <w:t xml:space="preserve"> e no </w:t>
      </w:r>
      <w:r w:rsidRPr="00107BD9">
        <w:rPr>
          <w:rFonts w:ascii="Cambria" w:eastAsia="Times New Roman" w:hAnsi="Cambria" w:cs="Times New Roman"/>
          <w:b/>
          <w:bCs/>
          <w:kern w:val="0"/>
          <w:sz w:val="22"/>
          <w:szCs w:val="22"/>
          <w:lang w:eastAsia="pt-BR" w:bidi="ar-SA"/>
        </w:rPr>
        <w:t>MCASP</w:t>
      </w:r>
      <w:r w:rsidRPr="00107BD9">
        <w:rPr>
          <w:rFonts w:ascii="Cambria" w:eastAsia="Times New Roman" w:hAnsi="Cambria" w:cs="Times New Roman"/>
          <w:kern w:val="0"/>
          <w:sz w:val="22"/>
          <w:szCs w:val="22"/>
          <w:lang w:eastAsia="pt-BR" w:bidi="ar-SA"/>
        </w:rPr>
        <w:t>, que permite o uso de recursos vinculados desde que comprovada a origem educacional da obrigação.</w:t>
      </w:r>
      <w:r w:rsidR="00107BD9" w:rsidRPr="00107BD9">
        <w:rPr>
          <w:rFonts w:ascii="Cambria" w:hAnsi="Cambria" w:cstheme="minorHAnsi"/>
          <w:b/>
          <w:bCs/>
          <w:sz w:val="22"/>
          <w:szCs w:val="22"/>
        </w:rPr>
        <w:t xml:space="preserve"> </w:t>
      </w:r>
      <w:r w:rsidRPr="00107BD9">
        <w:rPr>
          <w:rFonts w:ascii="Cambria" w:eastAsia="Times New Roman" w:hAnsi="Cambria" w:cs="Times New Roman"/>
          <w:kern w:val="0"/>
          <w:sz w:val="22"/>
          <w:szCs w:val="22"/>
          <w:lang w:eastAsia="pt-BR" w:bidi="ar-SA"/>
        </w:rPr>
        <w:t>Esse entendimento é aceitável quando demonstrado que o precatório decorre de obrigação da Secretaria Municipal de Educação. Nesses casos, sua quitação com a fonte 1500 contribui para o cumprimento do mínimo constitucional em MDE.</w:t>
      </w:r>
    </w:p>
    <w:p w14:paraId="7709D155" w14:textId="485E5561" w:rsidR="00107BD9" w:rsidRDefault="00107BD9" w:rsidP="00107BD9">
      <w:pPr>
        <w:spacing w:line="480" w:lineRule="auto"/>
        <w:ind w:firstLine="709"/>
        <w:jc w:val="both"/>
        <w:rPr>
          <w:rFonts w:ascii="Cambria" w:eastAsia="Times New Roman" w:hAnsi="Cambria" w:cs="Times New Roman"/>
          <w:kern w:val="0"/>
          <w:sz w:val="22"/>
          <w:szCs w:val="22"/>
          <w:lang w:eastAsia="pt-BR" w:bidi="ar-SA"/>
        </w:rPr>
      </w:pPr>
      <w:r w:rsidRPr="00107BD9">
        <w:rPr>
          <w:rFonts w:ascii="Cambria" w:eastAsia="Times New Roman" w:hAnsi="Cambria" w:cs="Times New Roman"/>
          <w:kern w:val="0"/>
          <w:sz w:val="22"/>
          <w:szCs w:val="22"/>
          <w:lang w:eastAsia="pt-BR" w:bidi="ar-SA"/>
        </w:rPr>
        <w:t xml:space="preserve">Todavia, ressalta-se que, por se tratar de imposto municipal, o ISS integra a </w:t>
      </w:r>
      <w:r w:rsidRPr="00107BD9">
        <w:rPr>
          <w:rFonts w:ascii="Cambria" w:eastAsia="Times New Roman" w:hAnsi="Cambria" w:cs="Times New Roman"/>
          <w:b/>
          <w:bCs/>
          <w:kern w:val="0"/>
          <w:sz w:val="22"/>
          <w:szCs w:val="22"/>
          <w:lang w:eastAsia="pt-BR" w:bidi="ar-SA"/>
        </w:rPr>
        <w:t>Fonte 500 – Recursos Ordinários (Tesouro)</w:t>
      </w:r>
      <w:r w:rsidRPr="00107BD9">
        <w:rPr>
          <w:rFonts w:ascii="Cambria" w:eastAsia="Times New Roman" w:hAnsi="Cambria" w:cs="Times New Roman"/>
          <w:kern w:val="0"/>
          <w:sz w:val="22"/>
          <w:szCs w:val="22"/>
          <w:lang w:eastAsia="pt-BR" w:bidi="ar-SA"/>
        </w:rPr>
        <w:t xml:space="preserve">. Dessa forma, o cálculo do excesso de arrecadação deve ser apurado </w:t>
      </w:r>
      <w:r w:rsidRPr="00107BD9">
        <w:rPr>
          <w:rFonts w:ascii="Cambria" w:eastAsia="Times New Roman" w:hAnsi="Cambria" w:cs="Times New Roman"/>
          <w:b/>
          <w:bCs/>
          <w:kern w:val="0"/>
          <w:sz w:val="22"/>
          <w:szCs w:val="22"/>
          <w:lang w:eastAsia="pt-BR" w:bidi="ar-SA"/>
        </w:rPr>
        <w:t>inicialmente na Fonte 500</w:t>
      </w:r>
      <w:r w:rsidRPr="00107BD9">
        <w:rPr>
          <w:rFonts w:ascii="Cambria" w:eastAsia="Times New Roman" w:hAnsi="Cambria" w:cs="Times New Roman"/>
          <w:kern w:val="0"/>
          <w:sz w:val="22"/>
          <w:szCs w:val="22"/>
          <w:lang w:eastAsia="pt-BR" w:bidi="ar-SA"/>
        </w:rPr>
        <w:t>, que consolida a arrecadação das receitas próprias do Município.</w:t>
      </w:r>
      <w:r w:rsidRPr="00107BD9">
        <w:rPr>
          <w:rFonts w:ascii="Cambria" w:hAnsi="Cambria" w:cstheme="minorHAnsi"/>
          <w:b/>
          <w:bCs/>
          <w:sz w:val="22"/>
          <w:szCs w:val="22"/>
        </w:rPr>
        <w:t xml:space="preserve"> </w:t>
      </w:r>
      <w:r w:rsidRPr="00107BD9">
        <w:rPr>
          <w:rFonts w:ascii="Cambria" w:eastAsia="Times New Roman" w:hAnsi="Cambria" w:cs="Times New Roman"/>
          <w:kern w:val="0"/>
          <w:sz w:val="22"/>
          <w:szCs w:val="22"/>
          <w:lang w:eastAsia="pt-BR" w:bidi="ar-SA"/>
        </w:rPr>
        <w:t xml:space="preserve">Somente após essa verificação global admite-se a destinação do excesso à </w:t>
      </w:r>
      <w:r w:rsidRPr="00107BD9">
        <w:rPr>
          <w:rFonts w:ascii="Cambria" w:eastAsia="Times New Roman" w:hAnsi="Cambria" w:cs="Times New Roman"/>
          <w:b/>
          <w:bCs/>
          <w:kern w:val="0"/>
          <w:sz w:val="22"/>
          <w:szCs w:val="22"/>
          <w:lang w:eastAsia="pt-BR" w:bidi="ar-SA"/>
        </w:rPr>
        <w:t>Fonte 1500 – MDE (1.500.1001)</w:t>
      </w:r>
      <w:r w:rsidRPr="00107BD9">
        <w:rPr>
          <w:rFonts w:ascii="Cambria" w:eastAsia="Times New Roman" w:hAnsi="Cambria" w:cs="Times New Roman"/>
          <w:kern w:val="0"/>
          <w:sz w:val="22"/>
          <w:szCs w:val="22"/>
          <w:lang w:eastAsia="pt-BR" w:bidi="ar-SA"/>
        </w:rPr>
        <w:t xml:space="preserve">, desde que haja comprovação expressa de que o precatório decorre de obrigação vinculada à Educação. Para precatórios oriundos de outras áreas, deve prevalecer a </w:t>
      </w:r>
      <w:r w:rsidRPr="00107BD9">
        <w:rPr>
          <w:rFonts w:ascii="Cambria" w:eastAsia="Times New Roman" w:hAnsi="Cambria" w:cs="Times New Roman"/>
          <w:b/>
          <w:bCs/>
          <w:kern w:val="0"/>
          <w:sz w:val="22"/>
          <w:szCs w:val="22"/>
          <w:lang w:eastAsia="pt-BR" w:bidi="ar-SA"/>
        </w:rPr>
        <w:t>Fonte 500</w:t>
      </w:r>
      <w:r w:rsidRPr="00107BD9">
        <w:rPr>
          <w:rFonts w:ascii="Cambria" w:eastAsia="Times New Roman" w:hAnsi="Cambria" w:cs="Times New Roman"/>
          <w:kern w:val="0"/>
          <w:sz w:val="22"/>
          <w:szCs w:val="22"/>
          <w:lang w:eastAsia="pt-BR" w:bidi="ar-SA"/>
        </w:rPr>
        <w:t>, sob pena de vinculação indevida e consequentes apontamentos pelos órgãos de controle</w:t>
      </w:r>
    </w:p>
    <w:p w14:paraId="67021F60" w14:textId="77777777" w:rsidR="00107BD9" w:rsidRPr="00107BD9" w:rsidRDefault="00107BD9" w:rsidP="00107BD9">
      <w:pPr>
        <w:spacing w:line="480" w:lineRule="auto"/>
        <w:ind w:firstLine="709"/>
        <w:jc w:val="both"/>
        <w:rPr>
          <w:rFonts w:ascii="Cambria" w:eastAsia="Times New Roman" w:hAnsi="Cambria" w:cs="Times New Roman"/>
          <w:kern w:val="0"/>
          <w:sz w:val="22"/>
          <w:szCs w:val="22"/>
          <w:lang w:eastAsia="pt-BR" w:bidi="ar-SA"/>
        </w:rPr>
      </w:pPr>
    </w:p>
    <w:p w14:paraId="7FC7AE99" w14:textId="5A5C0175" w:rsidR="00662EB7" w:rsidRPr="00107BD9" w:rsidRDefault="00662EB7" w:rsidP="00107BD9">
      <w:pPr>
        <w:pStyle w:val="PargrafodaLista"/>
        <w:numPr>
          <w:ilvl w:val="0"/>
          <w:numId w:val="6"/>
        </w:numPr>
        <w:spacing w:line="480" w:lineRule="auto"/>
        <w:jc w:val="both"/>
        <w:rPr>
          <w:rFonts w:ascii="Cambria" w:hAnsi="Cambria" w:cstheme="minorHAnsi"/>
          <w:b/>
          <w:bCs/>
          <w:sz w:val="22"/>
          <w:szCs w:val="22"/>
          <w:u w:val="single"/>
        </w:rPr>
      </w:pPr>
      <w:r w:rsidRPr="00107BD9">
        <w:rPr>
          <w:rFonts w:ascii="Cambria" w:hAnsi="Cambria" w:cstheme="minorHAnsi"/>
          <w:b/>
          <w:bCs/>
          <w:sz w:val="22"/>
          <w:szCs w:val="22"/>
          <w:u w:val="single"/>
        </w:rPr>
        <w:t>Estudo de Impacto Orçamentário-Financeiro (EIOF)</w:t>
      </w:r>
    </w:p>
    <w:p w14:paraId="2A822A28" w14:textId="77777777" w:rsidR="00662EB7" w:rsidRPr="00107BD9" w:rsidRDefault="00662EB7" w:rsidP="00107BD9">
      <w:pPr>
        <w:spacing w:line="480" w:lineRule="auto"/>
        <w:jc w:val="both"/>
        <w:rPr>
          <w:rFonts w:ascii="Cambria" w:hAnsi="Cambria" w:cstheme="minorHAnsi"/>
          <w:sz w:val="22"/>
          <w:szCs w:val="22"/>
        </w:rPr>
      </w:pPr>
      <w:r w:rsidRPr="00107BD9">
        <w:rPr>
          <w:rFonts w:ascii="Cambria" w:hAnsi="Cambria" w:cstheme="minorHAnsi"/>
          <w:sz w:val="22"/>
          <w:szCs w:val="22"/>
        </w:rPr>
        <w:t>Não se exige EIOF para o presente projeto, pois não há criação de nova despesa obrigatória, mas apenas a alocação de recursos para quitar dívida judicial já existente, atualizada monetariamente.</w:t>
      </w:r>
    </w:p>
    <w:p w14:paraId="3E9E8B68" w14:textId="77777777" w:rsidR="00107BD9" w:rsidRPr="00107BD9" w:rsidRDefault="00107BD9" w:rsidP="00107BD9">
      <w:pPr>
        <w:spacing w:line="480" w:lineRule="auto"/>
        <w:rPr>
          <w:rFonts w:ascii="Cambria" w:hAnsi="Cambria" w:cstheme="minorHAnsi"/>
          <w:sz w:val="22"/>
          <w:szCs w:val="22"/>
        </w:rPr>
      </w:pPr>
    </w:p>
    <w:p w14:paraId="603533A2" w14:textId="77777777" w:rsidR="000662EA" w:rsidRPr="00107BD9" w:rsidRDefault="000662EA" w:rsidP="00107BD9">
      <w:pPr>
        <w:spacing w:line="480" w:lineRule="auto"/>
        <w:rPr>
          <w:rFonts w:ascii="Cambria" w:hAnsi="Cambria" w:cstheme="minorHAnsi"/>
          <w:b/>
          <w:bCs/>
          <w:sz w:val="22"/>
          <w:szCs w:val="22"/>
          <w:u w:val="single"/>
        </w:rPr>
      </w:pPr>
      <w:r w:rsidRPr="00107BD9">
        <w:rPr>
          <w:rFonts w:ascii="Cambria" w:hAnsi="Cambria" w:cstheme="minorHAnsi"/>
          <w:b/>
          <w:bCs/>
          <w:sz w:val="22"/>
          <w:szCs w:val="22"/>
          <w:u w:val="single"/>
        </w:rPr>
        <w:t xml:space="preserve">III - ANÁLISE DE MÉRITO </w:t>
      </w:r>
    </w:p>
    <w:p w14:paraId="3198BA60" w14:textId="77777777" w:rsidR="00662EB7" w:rsidRPr="00107BD9" w:rsidRDefault="00662EB7" w:rsidP="00107BD9">
      <w:pPr>
        <w:spacing w:line="480" w:lineRule="auto"/>
        <w:ind w:firstLine="708"/>
        <w:jc w:val="both"/>
        <w:rPr>
          <w:rFonts w:ascii="Cambria" w:hAnsi="Cambria" w:cstheme="minorHAnsi"/>
          <w:sz w:val="22"/>
          <w:szCs w:val="22"/>
        </w:rPr>
      </w:pPr>
      <w:r w:rsidRPr="00107BD9">
        <w:rPr>
          <w:rFonts w:ascii="Cambria" w:hAnsi="Cambria" w:cstheme="minorHAnsi"/>
          <w:sz w:val="22"/>
          <w:szCs w:val="22"/>
        </w:rPr>
        <w:t>Do ponto de vista do mérito, o Projeto de Lei nº 037/2025 contribui para conferir maior flexibilidade administrativa ao Executivo, permitindo ajustes necessários à execução orçamentária e assegurando o cumprimento de despesas obrigatórias já existentes.</w:t>
      </w:r>
    </w:p>
    <w:p w14:paraId="21D6FE76" w14:textId="41353E9E" w:rsidR="00E747AC" w:rsidRPr="00107BD9" w:rsidRDefault="00662EB7" w:rsidP="005353CC">
      <w:pPr>
        <w:spacing w:line="480" w:lineRule="auto"/>
        <w:ind w:firstLine="708"/>
        <w:jc w:val="both"/>
        <w:rPr>
          <w:rFonts w:ascii="Cambria" w:hAnsi="Cambria" w:cstheme="minorHAnsi"/>
          <w:sz w:val="22"/>
          <w:szCs w:val="22"/>
        </w:rPr>
      </w:pPr>
      <w:r w:rsidRPr="00107BD9">
        <w:rPr>
          <w:rFonts w:ascii="Cambria" w:hAnsi="Cambria" w:cstheme="minorHAnsi"/>
          <w:sz w:val="22"/>
          <w:szCs w:val="22"/>
        </w:rPr>
        <w:lastRenderedPageBreak/>
        <w:t>O Projeto de Lei nº 038/2025 garante a inclusão no orçamento de recursos destinados ao pagamento de precatórios, obrigação constitucional que preserva a credibilidade do Município perante o Poder Judiciário e evita riscos de sanções legais.</w:t>
      </w:r>
      <w:r w:rsidR="005353CC">
        <w:rPr>
          <w:rFonts w:ascii="Cambria" w:hAnsi="Cambria" w:cstheme="minorHAnsi"/>
          <w:sz w:val="22"/>
          <w:szCs w:val="22"/>
        </w:rPr>
        <w:t xml:space="preserve"> </w:t>
      </w:r>
      <w:r w:rsidRPr="00107BD9">
        <w:rPr>
          <w:rFonts w:ascii="Cambria" w:hAnsi="Cambria" w:cstheme="minorHAnsi"/>
          <w:sz w:val="22"/>
          <w:szCs w:val="22"/>
        </w:rPr>
        <w:t>Assim, ambas as proposições são de relevância administrativa e de interesse público, devendo ser aprovadas</w:t>
      </w:r>
      <w:r w:rsidR="00D96087" w:rsidRPr="00107BD9">
        <w:rPr>
          <w:rFonts w:ascii="Cambria" w:hAnsi="Cambria" w:cstheme="minorHAnsi"/>
          <w:sz w:val="22"/>
          <w:szCs w:val="22"/>
        </w:rPr>
        <w:t>.</w:t>
      </w:r>
    </w:p>
    <w:p w14:paraId="0C408699" w14:textId="77777777" w:rsidR="00C055ED" w:rsidRPr="00107BD9" w:rsidRDefault="00C055ED" w:rsidP="00107BD9">
      <w:pPr>
        <w:pStyle w:val="PargrafodaLista"/>
        <w:spacing w:line="480" w:lineRule="auto"/>
        <w:ind w:left="1428"/>
        <w:jc w:val="both"/>
        <w:rPr>
          <w:rFonts w:ascii="Cambria" w:hAnsi="Cambria" w:cstheme="minorHAnsi"/>
          <w:sz w:val="22"/>
          <w:szCs w:val="22"/>
        </w:rPr>
      </w:pPr>
    </w:p>
    <w:p w14:paraId="6F82D173" w14:textId="40FDD5F6" w:rsidR="006F0098" w:rsidRPr="00107BD9" w:rsidRDefault="00847207" w:rsidP="00107BD9">
      <w:pPr>
        <w:spacing w:line="480" w:lineRule="auto"/>
        <w:rPr>
          <w:rFonts w:ascii="Cambria" w:hAnsi="Cambria" w:cstheme="minorHAnsi"/>
          <w:b/>
          <w:bCs/>
          <w:sz w:val="22"/>
          <w:szCs w:val="22"/>
          <w:u w:val="single"/>
        </w:rPr>
      </w:pPr>
      <w:r w:rsidRPr="00107BD9">
        <w:rPr>
          <w:rFonts w:ascii="Cambria" w:hAnsi="Cambria" w:cstheme="minorHAnsi"/>
          <w:b/>
          <w:bCs/>
          <w:sz w:val="22"/>
          <w:szCs w:val="22"/>
          <w:u w:val="single"/>
        </w:rPr>
        <w:t>I</w:t>
      </w:r>
      <w:r w:rsidR="000662EA" w:rsidRPr="00107BD9">
        <w:rPr>
          <w:rFonts w:ascii="Cambria" w:hAnsi="Cambria" w:cstheme="minorHAnsi"/>
          <w:b/>
          <w:bCs/>
          <w:sz w:val="22"/>
          <w:szCs w:val="22"/>
          <w:u w:val="single"/>
        </w:rPr>
        <w:t>V –</w:t>
      </w:r>
      <w:r w:rsidR="00D8696E" w:rsidRPr="00107BD9">
        <w:rPr>
          <w:rFonts w:ascii="Cambria" w:hAnsi="Cambria" w:cstheme="minorHAnsi"/>
          <w:b/>
          <w:bCs/>
          <w:sz w:val="22"/>
          <w:szCs w:val="22"/>
          <w:u w:val="single"/>
        </w:rPr>
        <w:t xml:space="preserve"> </w:t>
      </w:r>
      <w:r w:rsidR="000662EA" w:rsidRPr="00107BD9">
        <w:rPr>
          <w:rFonts w:ascii="Cambria" w:hAnsi="Cambria" w:cstheme="minorHAnsi"/>
          <w:b/>
          <w:bCs/>
          <w:sz w:val="22"/>
          <w:szCs w:val="22"/>
          <w:u w:val="single"/>
        </w:rPr>
        <w:t xml:space="preserve">DA COMISSÃO DE </w:t>
      </w:r>
      <w:r w:rsidR="00C45158" w:rsidRPr="00107BD9">
        <w:rPr>
          <w:rFonts w:ascii="Cambria" w:hAnsi="Cambria" w:cstheme="minorHAnsi"/>
          <w:b/>
          <w:bCs/>
          <w:sz w:val="22"/>
          <w:szCs w:val="22"/>
          <w:u w:val="single"/>
        </w:rPr>
        <w:t>CONSTITUIÇÃO, JUSTIÇA E REDAÇÃO FINAL</w:t>
      </w:r>
      <w:r w:rsidR="00E54691" w:rsidRPr="00107BD9">
        <w:rPr>
          <w:rFonts w:ascii="Cambria" w:hAnsi="Cambria" w:cstheme="minorHAnsi"/>
          <w:b/>
          <w:bCs/>
          <w:sz w:val="22"/>
          <w:szCs w:val="22"/>
          <w:u w:val="single"/>
        </w:rPr>
        <w:t xml:space="preserve"> E DA COMISSÃO DE FINANÇAS E ORÇAMENTO</w:t>
      </w:r>
    </w:p>
    <w:p w14:paraId="0E7D6972" w14:textId="1326E63B" w:rsidR="00107BD9" w:rsidRDefault="00810ECF" w:rsidP="00107BD9">
      <w:pPr>
        <w:spacing w:line="480" w:lineRule="auto"/>
        <w:ind w:firstLine="708"/>
        <w:jc w:val="both"/>
        <w:rPr>
          <w:rFonts w:ascii="Cambria" w:hAnsi="Cambria" w:cstheme="minorHAnsi"/>
          <w:b/>
          <w:bCs/>
          <w:sz w:val="22"/>
          <w:szCs w:val="22"/>
        </w:rPr>
      </w:pPr>
      <w:r w:rsidRPr="00107BD9">
        <w:rPr>
          <w:rFonts w:ascii="Cambria" w:hAnsi="Cambria" w:cstheme="minorHAnsi"/>
          <w:sz w:val="22"/>
          <w:szCs w:val="22"/>
        </w:rPr>
        <w:t xml:space="preserve">A </w:t>
      </w:r>
      <w:r w:rsidRPr="00107BD9">
        <w:rPr>
          <w:rFonts w:ascii="Cambria" w:hAnsi="Cambria" w:cstheme="minorHAnsi"/>
          <w:b/>
          <w:bCs/>
          <w:sz w:val="22"/>
          <w:szCs w:val="22"/>
        </w:rPr>
        <w:t>Comissão de Constituição, Justiça e Redação Final</w:t>
      </w:r>
      <w:r w:rsidRPr="00107BD9">
        <w:rPr>
          <w:rFonts w:ascii="Cambria" w:hAnsi="Cambria" w:cstheme="minorHAnsi"/>
          <w:sz w:val="22"/>
          <w:szCs w:val="22"/>
        </w:rPr>
        <w:t>, composta pelos Vereadores(as) Bárbara de Medeiros Dantas (Presidente), José Gilvan Dantas (Relator) e Maria das Vitórias Bezerra Dantas (</w:t>
      </w:r>
      <w:r w:rsidR="00F212A4" w:rsidRPr="00107BD9">
        <w:rPr>
          <w:rFonts w:ascii="Cambria" w:hAnsi="Cambria" w:cstheme="minorHAnsi"/>
          <w:sz w:val="22"/>
          <w:szCs w:val="22"/>
        </w:rPr>
        <w:t>Secretária</w:t>
      </w:r>
      <w:r w:rsidRPr="00107BD9">
        <w:rPr>
          <w:rFonts w:ascii="Cambria" w:hAnsi="Cambria" w:cstheme="minorHAnsi"/>
          <w:sz w:val="22"/>
          <w:szCs w:val="22"/>
        </w:rPr>
        <w:t>)</w:t>
      </w:r>
      <w:r w:rsidR="00E54691" w:rsidRPr="00107BD9">
        <w:rPr>
          <w:rFonts w:ascii="Cambria" w:hAnsi="Cambria" w:cstheme="minorHAnsi"/>
          <w:sz w:val="22"/>
          <w:szCs w:val="22"/>
        </w:rPr>
        <w:t xml:space="preserve"> e a </w:t>
      </w:r>
      <w:r w:rsidR="00E54691" w:rsidRPr="00107BD9">
        <w:rPr>
          <w:rFonts w:ascii="Cambria" w:hAnsi="Cambria" w:cstheme="minorHAnsi"/>
          <w:b/>
          <w:bCs/>
          <w:sz w:val="22"/>
          <w:szCs w:val="22"/>
        </w:rPr>
        <w:t>Comissão de Finanças e Orçamento</w:t>
      </w:r>
      <w:r w:rsidR="00E54691" w:rsidRPr="00107BD9">
        <w:rPr>
          <w:rFonts w:ascii="Cambria" w:hAnsi="Cambria" w:cstheme="minorHAnsi"/>
          <w:sz w:val="22"/>
          <w:szCs w:val="22"/>
        </w:rPr>
        <w:t xml:space="preserve">, composta pelos Vereadores(as) </w:t>
      </w:r>
      <w:proofErr w:type="spellStart"/>
      <w:r w:rsidR="00E54691" w:rsidRPr="00107BD9">
        <w:rPr>
          <w:rFonts w:ascii="Cambria" w:hAnsi="Cambria" w:cstheme="minorHAnsi"/>
          <w:sz w:val="22"/>
          <w:szCs w:val="22"/>
        </w:rPr>
        <w:t>Jemmifran</w:t>
      </w:r>
      <w:proofErr w:type="spellEnd"/>
      <w:r w:rsidR="00E54691" w:rsidRPr="00107BD9">
        <w:rPr>
          <w:rFonts w:ascii="Cambria" w:hAnsi="Cambria" w:cstheme="minorHAnsi"/>
          <w:sz w:val="22"/>
          <w:szCs w:val="22"/>
        </w:rPr>
        <w:t xml:space="preserve"> da Silva Dantas (Presidente), Bárbara de Medeiros Dantas (Relatora) e Jardel Dantas da Silva (Secretário) </w:t>
      </w:r>
      <w:r w:rsidR="00FD37DC" w:rsidRPr="00107BD9">
        <w:rPr>
          <w:rFonts w:ascii="Cambria" w:hAnsi="Cambria" w:cstheme="minorHAnsi"/>
          <w:sz w:val="22"/>
          <w:szCs w:val="22"/>
        </w:rPr>
        <w:t>analis</w:t>
      </w:r>
      <w:r w:rsidR="00E54691" w:rsidRPr="00107BD9">
        <w:rPr>
          <w:rFonts w:ascii="Cambria" w:hAnsi="Cambria" w:cstheme="minorHAnsi"/>
          <w:sz w:val="22"/>
          <w:szCs w:val="22"/>
        </w:rPr>
        <w:t>aram</w:t>
      </w:r>
      <w:r w:rsidR="00FD37DC" w:rsidRPr="00107BD9">
        <w:rPr>
          <w:rFonts w:ascii="Cambria" w:hAnsi="Cambria" w:cstheme="minorHAnsi"/>
          <w:sz w:val="22"/>
          <w:szCs w:val="22"/>
        </w:rPr>
        <w:t xml:space="preserve"> </w:t>
      </w:r>
      <w:r w:rsidR="00D96087" w:rsidRPr="00107BD9">
        <w:rPr>
          <w:rFonts w:ascii="Cambria" w:hAnsi="Cambria" w:cstheme="minorHAnsi"/>
          <w:b/>
          <w:bCs/>
          <w:sz w:val="22"/>
          <w:szCs w:val="22"/>
        </w:rPr>
        <w:t xml:space="preserve">os Projetos de Lei nº 037/2025 e nº 038/2025, de autoria do Prefeito Municipal. </w:t>
      </w:r>
      <w:r w:rsidR="000662EA" w:rsidRPr="00107BD9">
        <w:rPr>
          <w:rFonts w:ascii="Cambria" w:hAnsi="Cambria" w:cstheme="minorHAnsi"/>
          <w:sz w:val="22"/>
          <w:szCs w:val="22"/>
        </w:rPr>
        <w:t xml:space="preserve">A análise foi conduzida sob os aspectos da constitucionalidade, legalidade e técnica legislativa. Diante disso, </w:t>
      </w:r>
      <w:r w:rsidR="000662EA" w:rsidRPr="00107BD9">
        <w:rPr>
          <w:rFonts w:ascii="Cambria" w:hAnsi="Cambria" w:cstheme="minorHAnsi"/>
          <w:b/>
          <w:bCs/>
          <w:sz w:val="22"/>
          <w:szCs w:val="22"/>
        </w:rPr>
        <w:t>este Relator emite</w:t>
      </w:r>
      <w:r w:rsidR="000662EA" w:rsidRPr="00107BD9">
        <w:rPr>
          <w:rFonts w:ascii="Cambria" w:hAnsi="Cambria" w:cstheme="minorHAnsi"/>
          <w:sz w:val="22"/>
          <w:szCs w:val="22"/>
        </w:rPr>
        <w:t xml:space="preserve"> </w:t>
      </w:r>
      <w:r w:rsidR="000662EA" w:rsidRPr="00107BD9">
        <w:rPr>
          <w:rFonts w:ascii="Cambria" w:hAnsi="Cambria" w:cstheme="minorHAnsi"/>
          <w:b/>
          <w:bCs/>
          <w:sz w:val="22"/>
          <w:szCs w:val="22"/>
        </w:rPr>
        <w:t xml:space="preserve">parecer favorável à tramitação </w:t>
      </w:r>
      <w:r w:rsidR="00D96087" w:rsidRPr="00107BD9">
        <w:rPr>
          <w:rFonts w:ascii="Cambria" w:hAnsi="Cambria" w:cstheme="minorHAnsi"/>
          <w:b/>
          <w:bCs/>
          <w:sz w:val="22"/>
          <w:szCs w:val="22"/>
        </w:rPr>
        <w:t>os Projetos de Lei nº 037/2025 e nº 038/2025.</w:t>
      </w:r>
    </w:p>
    <w:p w14:paraId="7EC380BA" w14:textId="77777777" w:rsidR="00107BD9" w:rsidRPr="00107BD9" w:rsidRDefault="00107BD9" w:rsidP="00107BD9">
      <w:pPr>
        <w:spacing w:line="480" w:lineRule="auto"/>
        <w:ind w:firstLine="708"/>
        <w:jc w:val="both"/>
        <w:rPr>
          <w:rFonts w:ascii="Cambria" w:hAnsi="Cambria" w:cstheme="minorHAnsi"/>
          <w:b/>
          <w:bCs/>
          <w:sz w:val="22"/>
          <w:szCs w:val="22"/>
        </w:rPr>
      </w:pPr>
    </w:p>
    <w:p w14:paraId="5D99B2DD" w14:textId="6C6FAC03" w:rsidR="00107BD9" w:rsidRDefault="000662EA" w:rsidP="00107BD9">
      <w:pPr>
        <w:spacing w:line="480" w:lineRule="auto"/>
        <w:jc w:val="center"/>
        <w:rPr>
          <w:rFonts w:ascii="Cambria" w:hAnsi="Cambria" w:cstheme="minorHAnsi"/>
          <w:sz w:val="22"/>
          <w:szCs w:val="22"/>
        </w:rPr>
      </w:pPr>
      <w:r w:rsidRPr="00107BD9">
        <w:rPr>
          <w:rFonts w:ascii="Cambria" w:hAnsi="Cambria" w:cstheme="minorHAnsi"/>
          <w:sz w:val="22"/>
          <w:szCs w:val="22"/>
        </w:rPr>
        <w:t xml:space="preserve">Sala das Comissões, </w:t>
      </w:r>
      <w:r w:rsidR="00662EB7" w:rsidRPr="00107BD9">
        <w:rPr>
          <w:rFonts w:ascii="Cambria" w:hAnsi="Cambria" w:cstheme="minorHAnsi"/>
          <w:sz w:val="22"/>
          <w:szCs w:val="22"/>
        </w:rPr>
        <w:t>23</w:t>
      </w:r>
      <w:r w:rsidRPr="00107BD9">
        <w:rPr>
          <w:rFonts w:ascii="Cambria" w:hAnsi="Cambria" w:cstheme="minorHAnsi"/>
          <w:sz w:val="22"/>
          <w:szCs w:val="22"/>
        </w:rPr>
        <w:t xml:space="preserve"> de </w:t>
      </w:r>
      <w:r w:rsidR="00C055ED" w:rsidRPr="00107BD9">
        <w:rPr>
          <w:rFonts w:ascii="Cambria" w:hAnsi="Cambria" w:cstheme="minorHAnsi"/>
          <w:sz w:val="22"/>
          <w:szCs w:val="22"/>
        </w:rPr>
        <w:t>setembro</w:t>
      </w:r>
      <w:r w:rsidRPr="00107BD9">
        <w:rPr>
          <w:rFonts w:ascii="Cambria" w:hAnsi="Cambria" w:cstheme="minorHAnsi"/>
          <w:sz w:val="22"/>
          <w:szCs w:val="22"/>
        </w:rPr>
        <w:t xml:space="preserve"> de 2025.</w:t>
      </w:r>
    </w:p>
    <w:p w14:paraId="68D7ACC2" w14:textId="77777777" w:rsidR="00107BD9" w:rsidRPr="00107BD9" w:rsidRDefault="00107BD9" w:rsidP="00107BD9">
      <w:pPr>
        <w:spacing w:line="480" w:lineRule="auto"/>
        <w:jc w:val="center"/>
        <w:rPr>
          <w:rFonts w:ascii="Cambria" w:hAnsi="Cambria" w:cstheme="minorHAnsi"/>
          <w:sz w:val="22"/>
          <w:szCs w:val="22"/>
        </w:rPr>
      </w:pPr>
    </w:p>
    <w:p w14:paraId="1804952D" w14:textId="1B86982C" w:rsidR="000662EA" w:rsidRPr="00107BD9" w:rsidRDefault="000662EA" w:rsidP="00107BD9">
      <w:pPr>
        <w:jc w:val="center"/>
        <w:rPr>
          <w:rFonts w:ascii="Cambria" w:hAnsi="Cambria" w:cstheme="minorHAnsi"/>
          <w:sz w:val="22"/>
          <w:szCs w:val="22"/>
        </w:rPr>
      </w:pPr>
      <w:r w:rsidRPr="00107BD9">
        <w:rPr>
          <w:rFonts w:ascii="Cambria" w:hAnsi="Cambria" w:cstheme="minorHAnsi"/>
          <w:sz w:val="22"/>
          <w:szCs w:val="22"/>
        </w:rPr>
        <w:t>_____________________________________</w:t>
      </w:r>
    </w:p>
    <w:p w14:paraId="5ED147C6" w14:textId="7B37EF9E" w:rsidR="000E4977" w:rsidRPr="00107BD9" w:rsidRDefault="00C45158" w:rsidP="00107BD9">
      <w:pPr>
        <w:jc w:val="center"/>
        <w:rPr>
          <w:rFonts w:ascii="Cambria" w:hAnsi="Cambria" w:cstheme="minorHAnsi"/>
          <w:b/>
          <w:bCs/>
          <w:sz w:val="22"/>
          <w:szCs w:val="22"/>
        </w:rPr>
      </w:pPr>
      <w:r w:rsidRPr="00107BD9">
        <w:rPr>
          <w:rFonts w:ascii="Cambria" w:hAnsi="Cambria" w:cstheme="minorHAnsi"/>
          <w:b/>
          <w:bCs/>
          <w:sz w:val="22"/>
          <w:szCs w:val="22"/>
        </w:rPr>
        <w:t>JOSÉ GILVAN DANTAS</w:t>
      </w:r>
    </w:p>
    <w:p w14:paraId="73C11013" w14:textId="2BF0755D" w:rsidR="00DB249A" w:rsidRPr="00107BD9" w:rsidRDefault="000E4977" w:rsidP="00107BD9">
      <w:pPr>
        <w:jc w:val="center"/>
        <w:rPr>
          <w:rFonts w:ascii="Cambria" w:hAnsi="Cambria" w:cstheme="minorHAnsi"/>
          <w:sz w:val="22"/>
          <w:szCs w:val="22"/>
        </w:rPr>
      </w:pPr>
      <w:r w:rsidRPr="00107BD9">
        <w:rPr>
          <w:rFonts w:ascii="Cambria" w:hAnsi="Cambria" w:cstheme="minorHAnsi"/>
          <w:sz w:val="22"/>
          <w:szCs w:val="22"/>
        </w:rPr>
        <w:t>Relator da Comissão de</w:t>
      </w:r>
    </w:p>
    <w:p w14:paraId="619A313D" w14:textId="54BAD02C" w:rsidR="000662EA" w:rsidRPr="00107BD9" w:rsidRDefault="000E4977" w:rsidP="00107BD9">
      <w:pPr>
        <w:jc w:val="center"/>
        <w:rPr>
          <w:rFonts w:ascii="Cambria" w:hAnsi="Cambria" w:cstheme="minorHAnsi"/>
          <w:sz w:val="22"/>
          <w:szCs w:val="22"/>
        </w:rPr>
      </w:pPr>
      <w:r w:rsidRPr="00107BD9">
        <w:rPr>
          <w:rFonts w:ascii="Cambria" w:hAnsi="Cambria" w:cstheme="minorHAnsi"/>
          <w:sz w:val="22"/>
          <w:szCs w:val="22"/>
        </w:rPr>
        <w:t>Constituição</w:t>
      </w:r>
      <w:r w:rsidR="00C45158" w:rsidRPr="00107BD9">
        <w:rPr>
          <w:rFonts w:ascii="Cambria" w:hAnsi="Cambria" w:cstheme="minorHAnsi"/>
          <w:sz w:val="22"/>
          <w:szCs w:val="22"/>
        </w:rPr>
        <w:t>, Justiça e Redação Fina</w:t>
      </w:r>
      <w:r w:rsidR="00FD37DC" w:rsidRPr="00107BD9">
        <w:rPr>
          <w:rFonts w:ascii="Cambria" w:hAnsi="Cambria" w:cstheme="minorHAnsi"/>
          <w:sz w:val="22"/>
          <w:szCs w:val="22"/>
        </w:rPr>
        <w:t>l</w:t>
      </w:r>
    </w:p>
    <w:p w14:paraId="24131033" w14:textId="77777777" w:rsidR="005353CC" w:rsidRDefault="005353CC" w:rsidP="00107BD9">
      <w:pPr>
        <w:spacing w:line="360" w:lineRule="auto"/>
        <w:rPr>
          <w:rFonts w:ascii="Cambria" w:hAnsi="Cambria" w:cstheme="minorHAnsi"/>
          <w:sz w:val="22"/>
          <w:szCs w:val="22"/>
        </w:rPr>
      </w:pPr>
    </w:p>
    <w:p w14:paraId="34A21300" w14:textId="77777777" w:rsidR="005353CC" w:rsidRPr="00107BD9" w:rsidRDefault="005353CC" w:rsidP="00107BD9">
      <w:pPr>
        <w:spacing w:line="360" w:lineRule="auto"/>
        <w:rPr>
          <w:rFonts w:ascii="Cambria" w:hAnsi="Cambria" w:cstheme="minorHAnsi"/>
          <w:sz w:val="22"/>
          <w:szCs w:val="22"/>
        </w:rPr>
      </w:pPr>
    </w:p>
    <w:p w14:paraId="42077522" w14:textId="77777777" w:rsidR="00E54691" w:rsidRPr="00107BD9" w:rsidRDefault="00E54691" w:rsidP="005353CC">
      <w:pPr>
        <w:jc w:val="center"/>
        <w:rPr>
          <w:rFonts w:ascii="Cambria" w:hAnsi="Cambria" w:cstheme="minorHAnsi"/>
          <w:sz w:val="22"/>
          <w:szCs w:val="22"/>
        </w:rPr>
      </w:pPr>
      <w:r w:rsidRPr="00107BD9">
        <w:rPr>
          <w:rFonts w:ascii="Cambria" w:hAnsi="Cambria" w:cstheme="minorHAnsi"/>
          <w:sz w:val="22"/>
          <w:szCs w:val="22"/>
        </w:rPr>
        <w:t>_____________________________________</w:t>
      </w:r>
    </w:p>
    <w:p w14:paraId="1269B097" w14:textId="77777777" w:rsidR="00E54691" w:rsidRPr="00107BD9" w:rsidRDefault="00E54691" w:rsidP="005353CC">
      <w:pPr>
        <w:jc w:val="center"/>
        <w:rPr>
          <w:rFonts w:ascii="Cambria" w:hAnsi="Cambria" w:cstheme="minorHAnsi"/>
          <w:b/>
          <w:bCs/>
          <w:sz w:val="22"/>
          <w:szCs w:val="22"/>
        </w:rPr>
      </w:pPr>
      <w:r w:rsidRPr="00107BD9">
        <w:rPr>
          <w:rFonts w:ascii="Cambria" w:hAnsi="Cambria" w:cstheme="minorHAnsi"/>
          <w:b/>
          <w:bCs/>
          <w:sz w:val="22"/>
          <w:szCs w:val="22"/>
        </w:rPr>
        <w:t>BÁRBARA DE MEDEIROS DANTAS</w:t>
      </w:r>
    </w:p>
    <w:p w14:paraId="3CC9E71B" w14:textId="72D2AEE4" w:rsidR="00E54691" w:rsidRPr="00107BD9" w:rsidRDefault="00E54691" w:rsidP="005353CC">
      <w:pPr>
        <w:jc w:val="center"/>
        <w:rPr>
          <w:rFonts w:ascii="Cambria" w:hAnsi="Cambria" w:cstheme="minorHAnsi"/>
          <w:sz w:val="22"/>
          <w:szCs w:val="22"/>
        </w:rPr>
      </w:pPr>
      <w:r w:rsidRPr="00107BD9">
        <w:rPr>
          <w:rFonts w:ascii="Cambria" w:hAnsi="Cambria" w:cstheme="minorHAnsi"/>
          <w:sz w:val="22"/>
          <w:szCs w:val="22"/>
        </w:rPr>
        <w:t>Relatora da Comissão de</w:t>
      </w:r>
    </w:p>
    <w:p w14:paraId="28B3C87B" w14:textId="166E3B97" w:rsidR="00E54691" w:rsidRPr="00107BD9" w:rsidRDefault="00E54691" w:rsidP="005353CC">
      <w:pPr>
        <w:jc w:val="center"/>
        <w:rPr>
          <w:rFonts w:ascii="Cambria" w:hAnsi="Cambria" w:cstheme="minorHAnsi"/>
          <w:sz w:val="22"/>
          <w:szCs w:val="22"/>
        </w:rPr>
      </w:pPr>
      <w:r w:rsidRPr="00107BD9">
        <w:rPr>
          <w:rFonts w:ascii="Cambria" w:hAnsi="Cambria" w:cstheme="minorHAnsi"/>
          <w:sz w:val="22"/>
          <w:szCs w:val="22"/>
        </w:rPr>
        <w:t>Finanças e Orçamento</w:t>
      </w:r>
    </w:p>
    <w:p w14:paraId="294A3D3E" w14:textId="77777777" w:rsidR="00FD37DC" w:rsidRPr="00107BD9" w:rsidRDefault="00FD37DC" w:rsidP="00107BD9">
      <w:pPr>
        <w:spacing w:line="480" w:lineRule="auto"/>
        <w:jc w:val="center"/>
        <w:rPr>
          <w:rFonts w:ascii="Cambria" w:hAnsi="Cambria" w:cstheme="minorHAnsi"/>
          <w:sz w:val="22"/>
          <w:szCs w:val="22"/>
        </w:rPr>
      </w:pPr>
    </w:p>
    <w:p w14:paraId="7E1B19AC" w14:textId="60DBA06E" w:rsidR="00DB249A" w:rsidRPr="00107BD9" w:rsidRDefault="00DB249A" w:rsidP="00107BD9">
      <w:pPr>
        <w:spacing w:line="480" w:lineRule="auto"/>
        <w:jc w:val="center"/>
        <w:rPr>
          <w:rFonts w:ascii="Cambria" w:hAnsi="Cambria" w:cstheme="minorHAnsi"/>
          <w:b/>
          <w:bCs/>
          <w:sz w:val="22"/>
          <w:szCs w:val="22"/>
          <w:u w:val="single"/>
        </w:rPr>
      </w:pPr>
      <w:r w:rsidRPr="00107BD9">
        <w:rPr>
          <w:rFonts w:ascii="Cambria" w:hAnsi="Cambria" w:cstheme="minorHAnsi"/>
          <w:b/>
          <w:bCs/>
          <w:sz w:val="22"/>
          <w:szCs w:val="22"/>
          <w:u w:val="single"/>
        </w:rPr>
        <w:t>APROVAÇÃO DOS</w:t>
      </w:r>
      <w:r w:rsidR="00E54691" w:rsidRPr="00107BD9">
        <w:rPr>
          <w:rFonts w:ascii="Cambria" w:hAnsi="Cambria" w:cstheme="minorHAnsi"/>
          <w:b/>
          <w:bCs/>
          <w:sz w:val="22"/>
          <w:szCs w:val="22"/>
          <w:u w:val="single"/>
        </w:rPr>
        <w:t xml:space="preserve"> DEMAIS</w:t>
      </w:r>
      <w:r w:rsidRPr="00107BD9">
        <w:rPr>
          <w:rFonts w:ascii="Cambria" w:hAnsi="Cambria" w:cstheme="minorHAnsi"/>
          <w:b/>
          <w:bCs/>
          <w:sz w:val="22"/>
          <w:szCs w:val="22"/>
          <w:u w:val="single"/>
        </w:rPr>
        <w:t xml:space="preserve"> MEMBROS</w:t>
      </w:r>
      <w:r w:rsidR="00E54691" w:rsidRPr="00107BD9">
        <w:rPr>
          <w:rFonts w:ascii="Cambria" w:hAnsi="Cambria" w:cstheme="minorHAnsi"/>
          <w:b/>
          <w:bCs/>
          <w:sz w:val="22"/>
          <w:szCs w:val="22"/>
          <w:u w:val="single"/>
        </w:rPr>
        <w:t xml:space="preserve"> </w:t>
      </w:r>
    </w:p>
    <w:p w14:paraId="735FDFD4" w14:textId="77777777" w:rsidR="000662EA" w:rsidRPr="00107BD9" w:rsidRDefault="000662EA" w:rsidP="00107BD9">
      <w:pPr>
        <w:spacing w:line="480" w:lineRule="auto"/>
        <w:rPr>
          <w:rFonts w:ascii="Cambria" w:hAnsi="Cambria" w:cstheme="minorHAnsi"/>
          <w:sz w:val="22"/>
          <w:szCs w:val="22"/>
        </w:rPr>
      </w:pPr>
    </w:p>
    <w:p w14:paraId="3FA5A362" w14:textId="2465F18C" w:rsidR="00C055ED" w:rsidRPr="00107BD9" w:rsidRDefault="000662EA" w:rsidP="00107BD9">
      <w:pPr>
        <w:spacing w:line="480" w:lineRule="auto"/>
        <w:ind w:firstLine="708"/>
        <w:jc w:val="both"/>
        <w:rPr>
          <w:rFonts w:ascii="Cambria" w:hAnsi="Cambria" w:cstheme="minorHAnsi"/>
          <w:b/>
          <w:bCs/>
          <w:sz w:val="22"/>
          <w:szCs w:val="22"/>
        </w:rPr>
      </w:pPr>
      <w:r w:rsidRPr="00107BD9">
        <w:rPr>
          <w:rFonts w:ascii="Cambria" w:hAnsi="Cambria" w:cstheme="minorHAnsi"/>
          <w:sz w:val="22"/>
          <w:szCs w:val="22"/>
        </w:rPr>
        <w:t>Em consonância com as leis vigentes, manifesta-se esta</w:t>
      </w:r>
      <w:r w:rsidR="00E54691" w:rsidRPr="00107BD9">
        <w:rPr>
          <w:rFonts w:ascii="Cambria" w:hAnsi="Cambria" w:cstheme="minorHAnsi"/>
          <w:sz w:val="22"/>
          <w:szCs w:val="22"/>
        </w:rPr>
        <w:t>s</w:t>
      </w:r>
      <w:r w:rsidRPr="00107BD9">
        <w:rPr>
          <w:rFonts w:ascii="Cambria" w:hAnsi="Cambria" w:cstheme="minorHAnsi"/>
          <w:sz w:val="22"/>
          <w:szCs w:val="22"/>
        </w:rPr>
        <w:t xml:space="preserve"> comiss</w:t>
      </w:r>
      <w:r w:rsidR="00E54691" w:rsidRPr="00107BD9">
        <w:rPr>
          <w:rFonts w:ascii="Cambria" w:hAnsi="Cambria" w:cstheme="minorHAnsi"/>
          <w:sz w:val="22"/>
          <w:szCs w:val="22"/>
        </w:rPr>
        <w:t>ões</w:t>
      </w:r>
      <w:r w:rsidRPr="00107BD9">
        <w:rPr>
          <w:rFonts w:ascii="Cambria" w:hAnsi="Cambria" w:cstheme="minorHAnsi"/>
          <w:sz w:val="22"/>
          <w:szCs w:val="22"/>
        </w:rPr>
        <w:t xml:space="preserve">, por maioria dos votos, </w:t>
      </w:r>
      <w:r w:rsidRPr="00107BD9">
        <w:rPr>
          <w:rFonts w:ascii="Cambria" w:hAnsi="Cambria" w:cstheme="minorHAnsi"/>
          <w:b/>
          <w:bCs/>
          <w:sz w:val="22"/>
          <w:szCs w:val="22"/>
        </w:rPr>
        <w:t>PELA APROVAÇÃO</w:t>
      </w:r>
      <w:r w:rsidRPr="00107BD9">
        <w:rPr>
          <w:rFonts w:ascii="Cambria" w:hAnsi="Cambria" w:cstheme="minorHAnsi"/>
          <w:sz w:val="22"/>
          <w:szCs w:val="22"/>
        </w:rPr>
        <w:t xml:space="preserve"> </w:t>
      </w:r>
      <w:r w:rsidR="00FD37DC" w:rsidRPr="00107BD9">
        <w:rPr>
          <w:rFonts w:ascii="Cambria" w:hAnsi="Cambria" w:cstheme="minorHAnsi"/>
          <w:b/>
          <w:bCs/>
          <w:sz w:val="22"/>
          <w:szCs w:val="22"/>
        </w:rPr>
        <w:t>do</w:t>
      </w:r>
      <w:r w:rsidR="00E54691" w:rsidRPr="00107BD9">
        <w:rPr>
          <w:rFonts w:ascii="Cambria" w:hAnsi="Cambria" w:cstheme="minorHAnsi"/>
          <w:b/>
          <w:bCs/>
          <w:sz w:val="22"/>
          <w:szCs w:val="22"/>
        </w:rPr>
        <w:t>s</w:t>
      </w:r>
      <w:r w:rsidR="00FD37DC" w:rsidRPr="00107BD9">
        <w:rPr>
          <w:rFonts w:ascii="Cambria" w:hAnsi="Cambria" w:cstheme="minorHAnsi"/>
          <w:b/>
          <w:bCs/>
          <w:sz w:val="22"/>
          <w:szCs w:val="22"/>
        </w:rPr>
        <w:t xml:space="preserve"> </w:t>
      </w:r>
      <w:r w:rsidR="00E54691" w:rsidRPr="00107BD9">
        <w:rPr>
          <w:rFonts w:ascii="Cambria" w:hAnsi="Cambria" w:cstheme="minorHAnsi"/>
          <w:b/>
          <w:bCs/>
          <w:sz w:val="22"/>
          <w:szCs w:val="22"/>
        </w:rPr>
        <w:t>Projetos de Lei nº 037/2025 e nº 038/2025, de autoria do Prefeito Municipal.</w:t>
      </w:r>
      <w:r w:rsidRPr="00107BD9">
        <w:rPr>
          <w:rFonts w:ascii="Cambria" w:hAnsi="Cambria" w:cstheme="minorHAnsi"/>
          <w:b/>
          <w:bCs/>
          <w:sz w:val="22"/>
          <w:szCs w:val="22"/>
        </w:rPr>
        <w:t>,</w:t>
      </w:r>
      <w:r w:rsidRPr="00107BD9">
        <w:rPr>
          <w:rFonts w:ascii="Cambria" w:hAnsi="Cambria" w:cstheme="minorHAnsi"/>
          <w:sz w:val="22"/>
          <w:szCs w:val="22"/>
        </w:rPr>
        <w:t xml:space="preserve"> </w:t>
      </w:r>
      <w:r w:rsidRPr="00107BD9">
        <w:rPr>
          <w:rFonts w:ascii="Cambria" w:hAnsi="Cambria" w:cstheme="minorHAnsi"/>
          <w:b/>
          <w:bCs/>
          <w:sz w:val="22"/>
          <w:szCs w:val="22"/>
        </w:rPr>
        <w:t>votando favorável com o parecer do</w:t>
      </w:r>
      <w:r w:rsidR="00E54691" w:rsidRPr="00107BD9">
        <w:rPr>
          <w:rFonts w:ascii="Cambria" w:hAnsi="Cambria" w:cstheme="minorHAnsi"/>
          <w:b/>
          <w:bCs/>
          <w:sz w:val="22"/>
          <w:szCs w:val="22"/>
        </w:rPr>
        <w:t>s</w:t>
      </w:r>
      <w:r w:rsidRPr="00107BD9">
        <w:rPr>
          <w:rFonts w:ascii="Cambria" w:hAnsi="Cambria" w:cstheme="minorHAnsi"/>
          <w:b/>
          <w:bCs/>
          <w:sz w:val="22"/>
          <w:szCs w:val="22"/>
        </w:rPr>
        <w:t xml:space="preserve"> Relator</w:t>
      </w:r>
      <w:r w:rsidR="00E54691" w:rsidRPr="00107BD9">
        <w:rPr>
          <w:rFonts w:ascii="Cambria" w:hAnsi="Cambria" w:cstheme="minorHAnsi"/>
          <w:b/>
          <w:bCs/>
          <w:sz w:val="22"/>
          <w:szCs w:val="22"/>
        </w:rPr>
        <w:t>es</w:t>
      </w:r>
      <w:r w:rsidRPr="00107BD9">
        <w:rPr>
          <w:rFonts w:ascii="Cambria" w:hAnsi="Cambria" w:cstheme="minorHAnsi"/>
          <w:b/>
          <w:bCs/>
          <w:sz w:val="22"/>
          <w:szCs w:val="22"/>
        </w:rPr>
        <w:t>.</w:t>
      </w:r>
    </w:p>
    <w:p w14:paraId="7ABC83BD" w14:textId="77777777" w:rsidR="00FD37DC" w:rsidRPr="00107BD9" w:rsidRDefault="00FD37DC" w:rsidP="00107BD9">
      <w:pPr>
        <w:spacing w:line="480" w:lineRule="auto"/>
        <w:ind w:firstLine="708"/>
        <w:jc w:val="both"/>
        <w:rPr>
          <w:rFonts w:ascii="Cambria" w:hAnsi="Cambria" w:cstheme="minorHAnsi"/>
          <w:b/>
          <w:bCs/>
          <w:sz w:val="22"/>
          <w:szCs w:val="22"/>
        </w:rPr>
      </w:pPr>
    </w:p>
    <w:p w14:paraId="45ADC6FC" w14:textId="6C029FC8" w:rsidR="00C055ED" w:rsidRPr="00107BD9" w:rsidRDefault="00C055ED" w:rsidP="00107BD9">
      <w:pPr>
        <w:spacing w:line="480" w:lineRule="auto"/>
        <w:jc w:val="center"/>
        <w:rPr>
          <w:rFonts w:ascii="Cambria" w:hAnsi="Cambria" w:cstheme="minorHAnsi"/>
          <w:sz w:val="22"/>
          <w:szCs w:val="22"/>
        </w:rPr>
      </w:pPr>
      <w:r w:rsidRPr="00107BD9">
        <w:rPr>
          <w:rFonts w:ascii="Cambria" w:hAnsi="Cambria" w:cstheme="minorHAnsi"/>
          <w:sz w:val="22"/>
          <w:szCs w:val="22"/>
        </w:rPr>
        <w:t xml:space="preserve">Sala das Comissões, </w:t>
      </w:r>
      <w:r w:rsidR="00662EB7" w:rsidRPr="00107BD9">
        <w:rPr>
          <w:rFonts w:ascii="Cambria" w:hAnsi="Cambria" w:cstheme="minorHAnsi"/>
          <w:sz w:val="22"/>
          <w:szCs w:val="22"/>
        </w:rPr>
        <w:t>23</w:t>
      </w:r>
      <w:r w:rsidRPr="00107BD9">
        <w:rPr>
          <w:rFonts w:ascii="Cambria" w:hAnsi="Cambria" w:cstheme="minorHAnsi"/>
          <w:sz w:val="22"/>
          <w:szCs w:val="22"/>
        </w:rPr>
        <w:t xml:space="preserve"> de setembro de 2025.</w:t>
      </w:r>
    </w:p>
    <w:p w14:paraId="686FC487" w14:textId="77777777" w:rsidR="00E54691" w:rsidRPr="00107BD9" w:rsidRDefault="00E54691" w:rsidP="00107BD9">
      <w:pPr>
        <w:spacing w:line="480" w:lineRule="auto"/>
        <w:rPr>
          <w:rFonts w:ascii="Cambria" w:hAnsi="Cambria" w:cstheme="minorHAnsi"/>
          <w:sz w:val="22"/>
          <w:szCs w:val="22"/>
        </w:rPr>
      </w:pPr>
    </w:p>
    <w:p w14:paraId="04AC550C" w14:textId="09E4075E" w:rsidR="00654CA7" w:rsidRPr="00107BD9" w:rsidRDefault="00FD6CE1" w:rsidP="00107BD9">
      <w:pPr>
        <w:jc w:val="center"/>
        <w:rPr>
          <w:rFonts w:ascii="Cambria" w:hAnsi="Cambria" w:cstheme="minorHAnsi"/>
          <w:sz w:val="22"/>
          <w:szCs w:val="22"/>
        </w:rPr>
      </w:pPr>
      <w:r w:rsidRPr="00107BD9">
        <w:rPr>
          <w:rFonts w:ascii="Cambria" w:hAnsi="Cambria" w:cstheme="minorHAnsi"/>
          <w:sz w:val="22"/>
          <w:szCs w:val="22"/>
        </w:rPr>
        <w:t>______________________</w:t>
      </w:r>
      <w:r w:rsidR="00654CA7" w:rsidRPr="00107BD9">
        <w:rPr>
          <w:rFonts w:ascii="Cambria" w:hAnsi="Cambria" w:cstheme="minorHAnsi"/>
          <w:sz w:val="22"/>
          <w:szCs w:val="22"/>
        </w:rPr>
        <w:t>_____________________________</w:t>
      </w:r>
    </w:p>
    <w:p w14:paraId="62476CAC" w14:textId="49AEEEB2" w:rsidR="00654CA7" w:rsidRPr="00107BD9" w:rsidRDefault="00FD6CE1" w:rsidP="00107BD9">
      <w:pPr>
        <w:jc w:val="center"/>
        <w:rPr>
          <w:rFonts w:ascii="Cambria" w:hAnsi="Cambria" w:cstheme="minorHAnsi"/>
          <w:b/>
          <w:bCs/>
          <w:sz w:val="22"/>
          <w:szCs w:val="22"/>
        </w:rPr>
      </w:pPr>
      <w:r w:rsidRPr="00107BD9">
        <w:rPr>
          <w:rFonts w:ascii="Cambria" w:hAnsi="Cambria" w:cstheme="minorHAnsi"/>
          <w:b/>
          <w:bCs/>
          <w:sz w:val="22"/>
          <w:szCs w:val="22"/>
        </w:rPr>
        <w:t>MARIA DAS VITÓRIAS BEZERRA DANTAS</w:t>
      </w:r>
    </w:p>
    <w:p w14:paraId="3F7940E0" w14:textId="235BAD6C" w:rsidR="00FD6CE1" w:rsidRPr="00107BD9" w:rsidRDefault="00F212A4" w:rsidP="00107BD9">
      <w:pPr>
        <w:jc w:val="center"/>
        <w:rPr>
          <w:rFonts w:ascii="Cambria" w:hAnsi="Cambria" w:cstheme="minorHAnsi"/>
          <w:sz w:val="22"/>
          <w:szCs w:val="22"/>
        </w:rPr>
      </w:pPr>
      <w:r w:rsidRPr="00107BD9">
        <w:rPr>
          <w:rFonts w:ascii="Cambria" w:hAnsi="Cambria" w:cstheme="minorHAnsi"/>
          <w:sz w:val="22"/>
          <w:szCs w:val="22"/>
        </w:rPr>
        <w:t>Secretária</w:t>
      </w:r>
      <w:r w:rsidR="00654CA7" w:rsidRPr="00107BD9">
        <w:rPr>
          <w:rFonts w:ascii="Cambria" w:hAnsi="Cambria" w:cstheme="minorHAnsi"/>
          <w:sz w:val="22"/>
          <w:szCs w:val="22"/>
        </w:rPr>
        <w:t xml:space="preserve"> da Comissão de</w:t>
      </w:r>
    </w:p>
    <w:p w14:paraId="7B0962D5" w14:textId="577A8DE0" w:rsidR="00E54691" w:rsidRDefault="00654CA7" w:rsidP="00107BD9">
      <w:pPr>
        <w:jc w:val="center"/>
        <w:rPr>
          <w:rFonts w:ascii="Cambria" w:hAnsi="Cambria" w:cstheme="minorHAnsi"/>
          <w:sz w:val="22"/>
          <w:szCs w:val="22"/>
        </w:rPr>
      </w:pPr>
      <w:r w:rsidRPr="00107BD9">
        <w:rPr>
          <w:rFonts w:ascii="Cambria" w:hAnsi="Cambria" w:cstheme="minorHAnsi"/>
          <w:sz w:val="22"/>
          <w:szCs w:val="22"/>
        </w:rPr>
        <w:t>Constituição, Justiça e Redação Final</w:t>
      </w:r>
    </w:p>
    <w:p w14:paraId="5053517A" w14:textId="77777777" w:rsidR="005353CC" w:rsidRDefault="005353CC" w:rsidP="00107BD9">
      <w:pPr>
        <w:jc w:val="center"/>
        <w:rPr>
          <w:rFonts w:ascii="Cambria" w:hAnsi="Cambria" w:cstheme="minorHAnsi"/>
          <w:sz w:val="22"/>
          <w:szCs w:val="22"/>
        </w:rPr>
      </w:pPr>
    </w:p>
    <w:p w14:paraId="1977949E" w14:textId="77777777" w:rsidR="005353CC" w:rsidRDefault="005353CC" w:rsidP="00107BD9">
      <w:pPr>
        <w:jc w:val="center"/>
        <w:rPr>
          <w:rFonts w:ascii="Cambria" w:hAnsi="Cambria" w:cstheme="minorHAnsi"/>
          <w:sz w:val="22"/>
          <w:szCs w:val="22"/>
        </w:rPr>
      </w:pPr>
    </w:p>
    <w:p w14:paraId="142AD041" w14:textId="77777777" w:rsidR="005353CC" w:rsidRDefault="005353CC" w:rsidP="00107BD9">
      <w:pPr>
        <w:jc w:val="center"/>
        <w:rPr>
          <w:rFonts w:ascii="Cambria" w:hAnsi="Cambria" w:cstheme="minorHAnsi"/>
          <w:sz w:val="22"/>
          <w:szCs w:val="22"/>
        </w:rPr>
      </w:pPr>
    </w:p>
    <w:p w14:paraId="3BD21BE5" w14:textId="77777777" w:rsidR="00107BD9" w:rsidRPr="00107BD9" w:rsidRDefault="00107BD9" w:rsidP="00107BD9">
      <w:pPr>
        <w:jc w:val="center"/>
        <w:rPr>
          <w:rFonts w:ascii="Cambria" w:hAnsi="Cambria" w:cstheme="minorHAnsi"/>
          <w:sz w:val="22"/>
          <w:szCs w:val="22"/>
        </w:rPr>
      </w:pPr>
    </w:p>
    <w:p w14:paraId="6519A217" w14:textId="77777777" w:rsidR="00E54691" w:rsidRPr="00107BD9" w:rsidRDefault="00E54691" w:rsidP="00107BD9">
      <w:pPr>
        <w:jc w:val="center"/>
        <w:rPr>
          <w:rFonts w:ascii="Cambria" w:hAnsi="Cambria" w:cstheme="minorHAnsi"/>
          <w:sz w:val="22"/>
          <w:szCs w:val="22"/>
        </w:rPr>
      </w:pPr>
      <w:r w:rsidRPr="00107BD9">
        <w:rPr>
          <w:rFonts w:ascii="Cambria" w:hAnsi="Cambria" w:cstheme="minorHAnsi"/>
          <w:sz w:val="22"/>
          <w:szCs w:val="22"/>
        </w:rPr>
        <w:t>___________________________________________________</w:t>
      </w:r>
    </w:p>
    <w:p w14:paraId="551F179B" w14:textId="77777777" w:rsidR="00E54691" w:rsidRPr="00107BD9" w:rsidRDefault="00E54691" w:rsidP="00107BD9">
      <w:pPr>
        <w:jc w:val="center"/>
        <w:rPr>
          <w:rFonts w:ascii="Cambria" w:hAnsi="Cambria" w:cstheme="minorHAnsi"/>
          <w:b/>
          <w:bCs/>
          <w:sz w:val="22"/>
          <w:szCs w:val="22"/>
        </w:rPr>
      </w:pPr>
      <w:r w:rsidRPr="00107BD9">
        <w:rPr>
          <w:rFonts w:ascii="Cambria" w:hAnsi="Cambria" w:cstheme="minorHAnsi"/>
          <w:b/>
          <w:bCs/>
          <w:sz w:val="22"/>
          <w:szCs w:val="22"/>
        </w:rPr>
        <w:t>JEMMIFRAN DA SILVA DANTAS</w:t>
      </w:r>
    </w:p>
    <w:p w14:paraId="33E54585" w14:textId="346FFDE1" w:rsidR="00E54691" w:rsidRPr="00107BD9" w:rsidRDefault="00E54691" w:rsidP="00107BD9">
      <w:pPr>
        <w:jc w:val="center"/>
        <w:rPr>
          <w:rFonts w:ascii="Cambria" w:hAnsi="Cambria" w:cstheme="minorHAnsi"/>
          <w:sz w:val="22"/>
          <w:szCs w:val="22"/>
        </w:rPr>
      </w:pPr>
      <w:r w:rsidRPr="00107BD9">
        <w:rPr>
          <w:rFonts w:ascii="Cambria" w:hAnsi="Cambria" w:cstheme="minorHAnsi"/>
          <w:sz w:val="22"/>
          <w:szCs w:val="22"/>
        </w:rPr>
        <w:t>Presidente da Comissão de</w:t>
      </w:r>
    </w:p>
    <w:p w14:paraId="7DA8C466" w14:textId="77777777" w:rsidR="00E54691" w:rsidRPr="00107BD9" w:rsidRDefault="00E54691" w:rsidP="00107BD9">
      <w:pPr>
        <w:jc w:val="center"/>
        <w:rPr>
          <w:rFonts w:ascii="Cambria" w:hAnsi="Cambria" w:cstheme="minorHAnsi"/>
          <w:sz w:val="22"/>
          <w:szCs w:val="22"/>
        </w:rPr>
      </w:pPr>
      <w:r w:rsidRPr="00107BD9">
        <w:rPr>
          <w:rFonts w:ascii="Cambria" w:hAnsi="Cambria" w:cstheme="minorHAnsi"/>
          <w:sz w:val="22"/>
          <w:szCs w:val="22"/>
        </w:rPr>
        <w:t>Finanças e Orçamento</w:t>
      </w:r>
    </w:p>
    <w:p w14:paraId="36375942" w14:textId="77777777" w:rsidR="00662EB7" w:rsidRPr="00107BD9" w:rsidRDefault="00662EB7" w:rsidP="005353CC">
      <w:pPr>
        <w:spacing w:line="480" w:lineRule="auto"/>
        <w:rPr>
          <w:rFonts w:ascii="Cambria" w:hAnsi="Cambria" w:cstheme="minorHAnsi"/>
          <w:sz w:val="22"/>
          <w:szCs w:val="22"/>
        </w:rPr>
      </w:pPr>
    </w:p>
    <w:p w14:paraId="29083DB1" w14:textId="77777777" w:rsidR="00662EB7" w:rsidRPr="00107BD9" w:rsidRDefault="00662EB7" w:rsidP="00107BD9">
      <w:pPr>
        <w:spacing w:line="480" w:lineRule="auto"/>
        <w:jc w:val="center"/>
        <w:rPr>
          <w:rFonts w:ascii="Cambria" w:hAnsi="Cambria" w:cstheme="minorHAnsi"/>
          <w:sz w:val="22"/>
          <w:szCs w:val="22"/>
        </w:rPr>
      </w:pPr>
    </w:p>
    <w:p w14:paraId="29AAFFF7" w14:textId="77777777" w:rsidR="00E54691" w:rsidRPr="00107BD9" w:rsidRDefault="00E54691" w:rsidP="005353CC">
      <w:pPr>
        <w:jc w:val="center"/>
        <w:rPr>
          <w:rFonts w:ascii="Cambria" w:hAnsi="Cambria" w:cstheme="minorHAnsi"/>
          <w:sz w:val="22"/>
          <w:szCs w:val="22"/>
        </w:rPr>
      </w:pPr>
      <w:r w:rsidRPr="00107BD9">
        <w:rPr>
          <w:rFonts w:ascii="Cambria" w:hAnsi="Cambria" w:cstheme="minorHAnsi"/>
          <w:sz w:val="22"/>
          <w:szCs w:val="22"/>
        </w:rPr>
        <w:t>___________________________________________________</w:t>
      </w:r>
    </w:p>
    <w:p w14:paraId="341E2635" w14:textId="77777777" w:rsidR="00E54691" w:rsidRPr="00107BD9" w:rsidRDefault="00E54691" w:rsidP="005353CC">
      <w:pPr>
        <w:jc w:val="center"/>
        <w:rPr>
          <w:rFonts w:ascii="Cambria" w:hAnsi="Cambria" w:cstheme="minorHAnsi"/>
          <w:b/>
          <w:bCs/>
          <w:sz w:val="22"/>
          <w:szCs w:val="22"/>
        </w:rPr>
      </w:pPr>
      <w:r w:rsidRPr="00107BD9">
        <w:rPr>
          <w:rFonts w:ascii="Cambria" w:hAnsi="Cambria" w:cstheme="minorHAnsi"/>
          <w:b/>
          <w:bCs/>
          <w:sz w:val="22"/>
          <w:szCs w:val="22"/>
        </w:rPr>
        <w:t>JARDEL DANTAS DA SILVA</w:t>
      </w:r>
    </w:p>
    <w:p w14:paraId="185CC0AE" w14:textId="0FC4BC08" w:rsidR="00E54691" w:rsidRPr="00107BD9" w:rsidRDefault="00E54691" w:rsidP="005353CC">
      <w:pPr>
        <w:jc w:val="center"/>
        <w:rPr>
          <w:rFonts w:ascii="Cambria" w:hAnsi="Cambria" w:cstheme="minorHAnsi"/>
          <w:sz w:val="22"/>
          <w:szCs w:val="22"/>
        </w:rPr>
      </w:pPr>
      <w:r w:rsidRPr="00107BD9">
        <w:rPr>
          <w:rFonts w:ascii="Cambria" w:hAnsi="Cambria" w:cstheme="minorHAnsi"/>
          <w:sz w:val="22"/>
          <w:szCs w:val="22"/>
        </w:rPr>
        <w:t>Secretário da Comissão de</w:t>
      </w:r>
    </w:p>
    <w:p w14:paraId="39589D51" w14:textId="5222D0E4" w:rsidR="00E54691" w:rsidRPr="00107BD9" w:rsidRDefault="00E54691" w:rsidP="005353CC">
      <w:pPr>
        <w:jc w:val="center"/>
        <w:rPr>
          <w:rFonts w:ascii="Cambria" w:hAnsi="Cambria" w:cstheme="minorHAnsi"/>
          <w:sz w:val="22"/>
          <w:szCs w:val="22"/>
        </w:rPr>
      </w:pPr>
      <w:r w:rsidRPr="00107BD9">
        <w:rPr>
          <w:rFonts w:ascii="Cambria" w:hAnsi="Cambria" w:cstheme="minorHAnsi"/>
          <w:sz w:val="22"/>
          <w:szCs w:val="22"/>
        </w:rPr>
        <w:t>Finanças e Orçamento</w:t>
      </w:r>
    </w:p>
    <w:p w14:paraId="6A11F727" w14:textId="77777777" w:rsidR="00E54691" w:rsidRPr="00107BD9" w:rsidRDefault="00E54691" w:rsidP="00107BD9">
      <w:pPr>
        <w:spacing w:line="480" w:lineRule="auto"/>
        <w:rPr>
          <w:rFonts w:ascii="Cambria" w:hAnsi="Cambria" w:cstheme="minorHAnsi"/>
          <w:sz w:val="22"/>
          <w:szCs w:val="22"/>
        </w:rPr>
      </w:pPr>
    </w:p>
    <w:p w14:paraId="0AA26ECF" w14:textId="3CC311B6" w:rsidR="001140E4" w:rsidRPr="00107BD9" w:rsidRDefault="00D8696E" w:rsidP="00107BD9">
      <w:pPr>
        <w:spacing w:line="480" w:lineRule="auto"/>
        <w:jc w:val="both"/>
        <w:rPr>
          <w:rFonts w:ascii="Cambria" w:hAnsi="Cambria" w:cstheme="minorHAnsi"/>
          <w:b/>
          <w:sz w:val="22"/>
          <w:szCs w:val="22"/>
          <w:u w:val="single"/>
        </w:rPr>
      </w:pPr>
      <w:r w:rsidRPr="00107BD9">
        <w:rPr>
          <w:rFonts w:ascii="Cambria" w:hAnsi="Cambria" w:cstheme="minorHAnsi"/>
          <w:b/>
          <w:sz w:val="22"/>
          <w:szCs w:val="22"/>
          <w:u w:val="single"/>
        </w:rPr>
        <w:t xml:space="preserve">V - </w:t>
      </w:r>
      <w:r w:rsidR="00CE2B78" w:rsidRPr="00107BD9">
        <w:rPr>
          <w:rFonts w:ascii="Cambria" w:hAnsi="Cambria" w:cstheme="minorHAnsi"/>
          <w:b/>
          <w:sz w:val="22"/>
          <w:szCs w:val="22"/>
          <w:u w:val="single"/>
        </w:rPr>
        <w:t>CONSIDERAÇÕES</w:t>
      </w:r>
      <w:r w:rsidR="001140E4" w:rsidRPr="00107BD9">
        <w:rPr>
          <w:rFonts w:ascii="Cambria" w:hAnsi="Cambria" w:cstheme="minorHAnsi"/>
          <w:b/>
          <w:sz w:val="22"/>
          <w:szCs w:val="22"/>
          <w:u w:val="single"/>
        </w:rPr>
        <w:t xml:space="preserve"> FINAIS </w:t>
      </w:r>
    </w:p>
    <w:p w14:paraId="442CAB78" w14:textId="77777777" w:rsidR="000662EA" w:rsidRPr="00107BD9" w:rsidRDefault="000662EA" w:rsidP="00107BD9">
      <w:pPr>
        <w:spacing w:line="480" w:lineRule="auto"/>
        <w:ind w:firstLine="708"/>
        <w:jc w:val="both"/>
        <w:rPr>
          <w:rFonts w:ascii="Cambria" w:hAnsi="Cambria" w:cstheme="minorHAnsi"/>
          <w:bCs/>
          <w:sz w:val="22"/>
          <w:szCs w:val="22"/>
        </w:rPr>
      </w:pPr>
      <w:r w:rsidRPr="00107BD9">
        <w:rPr>
          <w:rFonts w:ascii="Cambria" w:hAnsi="Cambria" w:cstheme="minorHAnsi"/>
          <w:bCs/>
          <w:sz w:val="22"/>
          <w:szCs w:val="22"/>
        </w:rPr>
        <w:t>Nos termos do artigo 63 do Regimento Interno da Câmara Municipal, o presente parecer foi devidamente acompanhado pela Procuradora Jurídica da Casa Legislativa, que prestou o suporte necessário à análise e à fundamentação jurídica da matéria.</w:t>
      </w:r>
    </w:p>
    <w:p w14:paraId="00BAF530" w14:textId="77777777" w:rsidR="000662EA" w:rsidRPr="00107BD9" w:rsidRDefault="000662EA" w:rsidP="00107BD9">
      <w:pPr>
        <w:spacing w:line="480" w:lineRule="auto"/>
        <w:ind w:firstLine="708"/>
        <w:jc w:val="both"/>
        <w:rPr>
          <w:rFonts w:ascii="Cambria" w:hAnsi="Cambria" w:cstheme="minorHAnsi"/>
          <w:bCs/>
          <w:sz w:val="22"/>
          <w:szCs w:val="22"/>
        </w:rPr>
      </w:pPr>
      <w:r w:rsidRPr="00107BD9">
        <w:rPr>
          <w:rFonts w:ascii="Cambria" w:hAnsi="Cambria" w:cstheme="minorHAnsi"/>
          <w:bCs/>
          <w:sz w:val="22"/>
          <w:szCs w:val="22"/>
        </w:rPr>
        <w:lastRenderedPageBreak/>
        <w:t xml:space="preserve">Cumpre esclarecer que, </w:t>
      </w:r>
      <w:r w:rsidRPr="00107BD9">
        <w:rPr>
          <w:rFonts w:ascii="Cambria" w:hAnsi="Cambria" w:cstheme="minorHAnsi"/>
          <w:b/>
          <w:sz w:val="22"/>
          <w:szCs w:val="22"/>
        </w:rPr>
        <w:t>conforme o parágrafo único do referido artigo</w:t>
      </w:r>
      <w:r w:rsidRPr="00107BD9">
        <w:rPr>
          <w:rFonts w:ascii="Cambria" w:hAnsi="Cambria" w:cstheme="minorHAnsi"/>
          <w:bCs/>
          <w:sz w:val="22"/>
          <w:szCs w:val="22"/>
        </w:rPr>
        <w:t>, os pareceres das comissões devem conter posicionamentos favoráveis e desfavoráveis, devidamente fundamentados, bem como o voto dos integrantes da Comissão, e são obrigatoriamente acompanhados de análise jurídica emitida ou validada pela Procuradora ou Assessora Jurídica da Câmara.</w:t>
      </w:r>
    </w:p>
    <w:p w14:paraId="67735615" w14:textId="4E438AFA" w:rsidR="007E136A" w:rsidRPr="00107BD9" w:rsidRDefault="000662EA" w:rsidP="00107BD9">
      <w:pPr>
        <w:spacing w:line="480" w:lineRule="auto"/>
        <w:ind w:firstLine="708"/>
        <w:jc w:val="both"/>
        <w:rPr>
          <w:rFonts w:ascii="Cambria" w:hAnsi="Cambria" w:cstheme="minorHAnsi"/>
          <w:bCs/>
          <w:sz w:val="22"/>
          <w:szCs w:val="22"/>
        </w:rPr>
      </w:pPr>
      <w:r w:rsidRPr="00107BD9">
        <w:rPr>
          <w:rFonts w:ascii="Cambria" w:hAnsi="Cambria" w:cstheme="minorHAnsi"/>
          <w:bCs/>
          <w:sz w:val="22"/>
          <w:szCs w:val="22"/>
        </w:rPr>
        <w:t>Assim, o presente parecer atende integralmente aos requisitos legais e regimentais, contando com a participação técnica da Procuradora Jurídica para assegurar sua conformidade e validade.</w:t>
      </w:r>
    </w:p>
    <w:p w14:paraId="52CC9EEE" w14:textId="77777777" w:rsidR="00E54691" w:rsidRPr="00107BD9" w:rsidRDefault="00E54691" w:rsidP="00107BD9">
      <w:pPr>
        <w:spacing w:line="480" w:lineRule="auto"/>
        <w:ind w:firstLine="708"/>
        <w:jc w:val="both"/>
        <w:rPr>
          <w:rFonts w:ascii="Cambria" w:hAnsi="Cambria" w:cstheme="minorHAnsi"/>
          <w:bCs/>
          <w:sz w:val="22"/>
          <w:szCs w:val="22"/>
        </w:rPr>
      </w:pPr>
    </w:p>
    <w:p w14:paraId="70CB18DB" w14:textId="46504D18" w:rsidR="007E136A" w:rsidRPr="00107BD9" w:rsidRDefault="007E136A" w:rsidP="00107BD9">
      <w:pPr>
        <w:spacing w:line="480" w:lineRule="auto"/>
        <w:jc w:val="center"/>
        <w:rPr>
          <w:rFonts w:ascii="Cambria" w:hAnsi="Cambria" w:cstheme="minorHAnsi"/>
          <w:sz w:val="22"/>
          <w:szCs w:val="22"/>
        </w:rPr>
      </w:pPr>
      <w:r w:rsidRPr="00107BD9">
        <w:rPr>
          <w:rFonts w:ascii="Cambria" w:hAnsi="Cambria" w:cstheme="minorHAnsi"/>
          <w:sz w:val="22"/>
          <w:szCs w:val="22"/>
        </w:rPr>
        <w:t xml:space="preserve">Sala das Comissões, </w:t>
      </w:r>
      <w:r w:rsidR="00662EB7" w:rsidRPr="00107BD9">
        <w:rPr>
          <w:rFonts w:ascii="Cambria" w:hAnsi="Cambria" w:cstheme="minorHAnsi"/>
          <w:sz w:val="22"/>
          <w:szCs w:val="22"/>
        </w:rPr>
        <w:t>23</w:t>
      </w:r>
      <w:r w:rsidRPr="00107BD9">
        <w:rPr>
          <w:rFonts w:ascii="Cambria" w:hAnsi="Cambria" w:cstheme="minorHAnsi"/>
          <w:sz w:val="22"/>
          <w:szCs w:val="22"/>
        </w:rPr>
        <w:t xml:space="preserve"> de </w:t>
      </w:r>
      <w:r w:rsidR="00C055ED" w:rsidRPr="00107BD9">
        <w:rPr>
          <w:rFonts w:ascii="Cambria" w:hAnsi="Cambria" w:cstheme="minorHAnsi"/>
          <w:sz w:val="22"/>
          <w:szCs w:val="22"/>
        </w:rPr>
        <w:t>setembro</w:t>
      </w:r>
      <w:r w:rsidRPr="00107BD9">
        <w:rPr>
          <w:rFonts w:ascii="Cambria" w:hAnsi="Cambria" w:cstheme="minorHAnsi"/>
          <w:sz w:val="22"/>
          <w:szCs w:val="22"/>
        </w:rPr>
        <w:t xml:space="preserve"> de 2025.</w:t>
      </w:r>
    </w:p>
    <w:p w14:paraId="48B67004" w14:textId="77777777" w:rsidR="00CF6689" w:rsidRPr="00107BD9" w:rsidRDefault="00CF6689" w:rsidP="00107BD9">
      <w:pPr>
        <w:spacing w:line="480" w:lineRule="auto"/>
        <w:jc w:val="both"/>
        <w:rPr>
          <w:rFonts w:ascii="Cambria" w:hAnsi="Cambria" w:cstheme="minorHAnsi"/>
          <w:bCs/>
          <w:sz w:val="22"/>
          <w:szCs w:val="22"/>
        </w:rPr>
      </w:pPr>
    </w:p>
    <w:p w14:paraId="637E615C" w14:textId="17EB2011" w:rsidR="00CF6689" w:rsidRPr="00107BD9" w:rsidRDefault="00CF6689" w:rsidP="005353CC">
      <w:pPr>
        <w:ind w:left="-181" w:right="-181"/>
        <w:jc w:val="center"/>
        <w:outlineLvl w:val="0"/>
        <w:rPr>
          <w:rFonts w:ascii="Cambria" w:hAnsi="Cambria" w:cstheme="minorHAnsi"/>
          <w:bCs/>
          <w:sz w:val="22"/>
          <w:szCs w:val="22"/>
        </w:rPr>
      </w:pPr>
      <w:r w:rsidRPr="00107BD9">
        <w:rPr>
          <w:rFonts w:ascii="Cambria" w:hAnsi="Cambria" w:cstheme="minorHAnsi"/>
          <w:bCs/>
          <w:sz w:val="22"/>
          <w:szCs w:val="22"/>
        </w:rPr>
        <w:t>__________________________________________________________</w:t>
      </w:r>
    </w:p>
    <w:p w14:paraId="15DDC92F" w14:textId="42878176" w:rsidR="00E70C84" w:rsidRPr="00107BD9" w:rsidRDefault="00FA5355" w:rsidP="005353CC">
      <w:pPr>
        <w:ind w:left="-181" w:right="-181"/>
        <w:jc w:val="center"/>
        <w:outlineLvl w:val="0"/>
        <w:rPr>
          <w:rFonts w:ascii="Cambria" w:hAnsi="Cambria" w:cstheme="minorHAnsi"/>
          <w:b/>
          <w:sz w:val="22"/>
          <w:szCs w:val="22"/>
        </w:rPr>
      </w:pPr>
      <w:r w:rsidRPr="00107BD9">
        <w:rPr>
          <w:rFonts w:ascii="Cambria" w:hAnsi="Cambria" w:cstheme="minorHAnsi"/>
          <w:b/>
          <w:sz w:val="22"/>
          <w:szCs w:val="22"/>
        </w:rPr>
        <w:t>JANIARYA LOURENA DE AZEVEDO DANTAS</w:t>
      </w:r>
    </w:p>
    <w:p w14:paraId="3D3C5A82" w14:textId="103783AC" w:rsidR="00FA5355" w:rsidRPr="00107BD9" w:rsidRDefault="00F96338" w:rsidP="005353CC">
      <w:pPr>
        <w:ind w:left="-181" w:right="-181"/>
        <w:jc w:val="center"/>
        <w:outlineLvl w:val="0"/>
        <w:rPr>
          <w:rFonts w:ascii="Cambria" w:hAnsi="Cambria" w:cstheme="minorHAnsi"/>
          <w:bCs/>
          <w:sz w:val="22"/>
          <w:szCs w:val="22"/>
        </w:rPr>
      </w:pPr>
      <w:r w:rsidRPr="00107BD9">
        <w:rPr>
          <w:rFonts w:ascii="Cambria" w:hAnsi="Cambria" w:cstheme="minorHAnsi"/>
          <w:bCs/>
          <w:sz w:val="22"/>
          <w:szCs w:val="22"/>
        </w:rPr>
        <w:t xml:space="preserve">Procuradora Jurídica </w:t>
      </w:r>
      <w:r w:rsidR="00CF6689" w:rsidRPr="00107BD9">
        <w:rPr>
          <w:rFonts w:ascii="Cambria" w:hAnsi="Cambria" w:cstheme="minorHAnsi"/>
          <w:bCs/>
          <w:sz w:val="22"/>
          <w:szCs w:val="22"/>
        </w:rPr>
        <w:t xml:space="preserve">- </w:t>
      </w:r>
      <w:r w:rsidR="00F50D08" w:rsidRPr="00107BD9">
        <w:rPr>
          <w:rFonts w:ascii="Cambria" w:hAnsi="Cambria" w:cstheme="minorHAnsi"/>
          <w:bCs/>
          <w:sz w:val="22"/>
          <w:szCs w:val="22"/>
        </w:rPr>
        <w:t xml:space="preserve">Portaria </w:t>
      </w:r>
      <w:r w:rsidR="0023663C" w:rsidRPr="00107BD9">
        <w:rPr>
          <w:rFonts w:ascii="Cambria" w:hAnsi="Cambria" w:cstheme="minorHAnsi"/>
          <w:bCs/>
          <w:sz w:val="22"/>
          <w:szCs w:val="22"/>
        </w:rPr>
        <w:t>nº 040/2025</w:t>
      </w:r>
      <w:r w:rsidR="00625F1B" w:rsidRPr="00107BD9">
        <w:rPr>
          <w:rFonts w:ascii="Cambria" w:hAnsi="Cambria" w:cstheme="minorHAnsi"/>
          <w:bCs/>
          <w:sz w:val="22"/>
          <w:szCs w:val="22"/>
        </w:rPr>
        <w:br/>
        <w:t>Advogada OAB/RN 19025</w:t>
      </w:r>
    </w:p>
    <w:sectPr w:rsidR="00FA5355" w:rsidRPr="00107BD9" w:rsidSect="00CF6689">
      <w:headerReference w:type="default" r:id="rId7"/>
      <w:pgSz w:w="11906" w:h="16838"/>
      <w:pgMar w:top="1418" w:right="1418" w:bottom="1418" w:left="1418" w:header="113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DC91" w14:textId="77777777" w:rsidR="0025174C" w:rsidRDefault="0025174C">
      <w:pPr>
        <w:rPr>
          <w:rFonts w:hint="eastAsia"/>
        </w:rPr>
      </w:pPr>
      <w:r>
        <w:separator/>
      </w:r>
    </w:p>
  </w:endnote>
  <w:endnote w:type="continuationSeparator" w:id="0">
    <w:p w14:paraId="2B1AAED6" w14:textId="77777777" w:rsidR="0025174C" w:rsidRDefault="0025174C">
      <w:pPr>
        <w:rPr>
          <w:rFonts w:hint="eastAsia"/>
        </w:rPr>
      </w:pPr>
      <w:r>
        <w:continuationSeparator/>
      </w:r>
    </w:p>
  </w:endnote>
  <w:endnote w:type="continuationNotice" w:id="1">
    <w:p w14:paraId="7F7A7CEC" w14:textId="77777777" w:rsidR="0025174C" w:rsidRDefault="0025174C">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23AB" w14:textId="77777777" w:rsidR="0025174C" w:rsidRDefault="0025174C">
      <w:pPr>
        <w:rPr>
          <w:rFonts w:hint="eastAsia"/>
        </w:rPr>
      </w:pPr>
      <w:r>
        <w:separator/>
      </w:r>
    </w:p>
  </w:footnote>
  <w:footnote w:type="continuationSeparator" w:id="0">
    <w:p w14:paraId="26E70502" w14:textId="77777777" w:rsidR="0025174C" w:rsidRDefault="0025174C">
      <w:pPr>
        <w:rPr>
          <w:rFonts w:hint="eastAsia"/>
        </w:rPr>
      </w:pPr>
      <w:r>
        <w:continuationSeparator/>
      </w:r>
    </w:p>
  </w:footnote>
  <w:footnote w:type="continuationNotice" w:id="1">
    <w:p w14:paraId="327CC294" w14:textId="77777777" w:rsidR="0025174C" w:rsidRDefault="0025174C">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D3B3" w14:textId="77777777" w:rsidR="00CC4F5F" w:rsidRDefault="00000000">
    <w:pPr>
      <w:pStyle w:val="Cabealho"/>
      <w:rPr>
        <w:rFonts w:hint="eastAsia"/>
      </w:rPr>
    </w:pPr>
    <w:r>
      <w:rPr>
        <w:rFonts w:hint="eastAsia"/>
        <w:noProof/>
        <w:lang w:eastAsia="pt-BR" w:bidi="ar-SA"/>
      </w:rPr>
      <w:pict w14:anchorId="788F5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0;margin-top:0;width:467.8pt;height:469.7pt;z-index:-251658752;mso-position-horizontal:center;mso-position-horizontal-relative:margin;mso-position-vertical:center;mso-position-vertical-relative:margin" o:allowincell="f">
          <v:imagedata r:id="rId1" o:title="imagem 2" gain="19661f" blacklevel="22938f"/>
          <w10:wrap anchorx="margin" anchory="margin"/>
        </v:shape>
      </w:pict>
    </w:r>
    <w:r w:rsidR="00A94688">
      <w:rPr>
        <w:noProof/>
        <w:lang w:eastAsia="pt-BR" w:bidi="ar-SA"/>
      </w:rPr>
      <w:drawing>
        <wp:inline distT="0" distB="0" distL="0" distR="0" wp14:anchorId="2D4AE189" wp14:editId="2CBB1C83">
          <wp:extent cx="5760085" cy="1224915"/>
          <wp:effectExtent l="0" t="0" r="0" b="0"/>
          <wp:docPr id="2" name="Imagem 0" descr="Logo Câmara Municipal_Com_CNPJ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0" descr="Logo Câmara Municipal_Com_CNPJ (1).jpg"/>
                  <pic:cNvPicPr>
                    <a:picLocks noChangeAspect="1" noChangeArrowheads="1"/>
                  </pic:cNvPicPr>
                </pic:nvPicPr>
                <pic:blipFill>
                  <a:blip r:embed="rId2"/>
                  <a:stretch>
                    <a:fillRect/>
                  </a:stretch>
                </pic:blipFill>
                <pic:spPr bwMode="auto">
                  <a:xfrm>
                    <a:off x="0" y="0"/>
                    <a:ext cx="5760085" cy="1224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0146E"/>
    <w:multiLevelType w:val="hybridMultilevel"/>
    <w:tmpl w:val="CB16998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0CE6C7F"/>
    <w:multiLevelType w:val="hybridMultilevel"/>
    <w:tmpl w:val="47D87E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4F0D63BA"/>
    <w:multiLevelType w:val="hybridMultilevel"/>
    <w:tmpl w:val="C2283192"/>
    <w:lvl w:ilvl="0" w:tplc="4D2AAC3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A221116"/>
    <w:multiLevelType w:val="hybridMultilevel"/>
    <w:tmpl w:val="11A41B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38E16A5"/>
    <w:multiLevelType w:val="hybridMultilevel"/>
    <w:tmpl w:val="61988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E3B1C77"/>
    <w:multiLevelType w:val="hybridMultilevel"/>
    <w:tmpl w:val="F1F8674C"/>
    <w:lvl w:ilvl="0" w:tplc="3E5A850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466436079">
    <w:abstractNumId w:val="2"/>
  </w:num>
  <w:num w:numId="2" w16cid:durableId="2032536700">
    <w:abstractNumId w:val="0"/>
  </w:num>
  <w:num w:numId="3" w16cid:durableId="1403021033">
    <w:abstractNumId w:val="1"/>
  </w:num>
  <w:num w:numId="4" w16cid:durableId="22637600">
    <w:abstractNumId w:val="4"/>
  </w:num>
  <w:num w:numId="5" w16cid:durableId="701705847">
    <w:abstractNumId w:val="3"/>
  </w:num>
  <w:num w:numId="6" w16cid:durableId="772820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5F"/>
    <w:rsid w:val="00017603"/>
    <w:rsid w:val="00027338"/>
    <w:rsid w:val="00035DD6"/>
    <w:rsid w:val="00035E30"/>
    <w:rsid w:val="000402A3"/>
    <w:rsid w:val="0004236A"/>
    <w:rsid w:val="00045089"/>
    <w:rsid w:val="000602B6"/>
    <w:rsid w:val="000662EA"/>
    <w:rsid w:val="000762AD"/>
    <w:rsid w:val="00080FAD"/>
    <w:rsid w:val="00087BAC"/>
    <w:rsid w:val="000A4509"/>
    <w:rsid w:val="000B0235"/>
    <w:rsid w:val="000C4720"/>
    <w:rsid w:val="000D1308"/>
    <w:rsid w:val="000D3EC0"/>
    <w:rsid w:val="000E1D8D"/>
    <w:rsid w:val="000E4977"/>
    <w:rsid w:val="000F361E"/>
    <w:rsid w:val="00107BD9"/>
    <w:rsid w:val="001140E4"/>
    <w:rsid w:val="001440EB"/>
    <w:rsid w:val="00167D6C"/>
    <w:rsid w:val="001829C3"/>
    <w:rsid w:val="00185226"/>
    <w:rsid w:val="00197AF6"/>
    <w:rsid w:val="001A54B7"/>
    <w:rsid w:val="001C474C"/>
    <w:rsid w:val="001D36BD"/>
    <w:rsid w:val="001D36DC"/>
    <w:rsid w:val="0023663C"/>
    <w:rsid w:val="00237F22"/>
    <w:rsid w:val="002501C9"/>
    <w:rsid w:val="0025174C"/>
    <w:rsid w:val="00262292"/>
    <w:rsid w:val="002722C9"/>
    <w:rsid w:val="00297560"/>
    <w:rsid w:val="0029760F"/>
    <w:rsid w:val="002A50D0"/>
    <w:rsid w:val="002B1C06"/>
    <w:rsid w:val="002C05D4"/>
    <w:rsid w:val="002C7C82"/>
    <w:rsid w:val="002E625C"/>
    <w:rsid w:val="002E7833"/>
    <w:rsid w:val="002F2844"/>
    <w:rsid w:val="003044B5"/>
    <w:rsid w:val="003141DA"/>
    <w:rsid w:val="0032078F"/>
    <w:rsid w:val="003527F7"/>
    <w:rsid w:val="00352C73"/>
    <w:rsid w:val="00366F73"/>
    <w:rsid w:val="003728C7"/>
    <w:rsid w:val="0039045D"/>
    <w:rsid w:val="003D38A5"/>
    <w:rsid w:val="003E1D81"/>
    <w:rsid w:val="003E25B0"/>
    <w:rsid w:val="0040702D"/>
    <w:rsid w:val="00410B2F"/>
    <w:rsid w:val="0041219F"/>
    <w:rsid w:val="004262D5"/>
    <w:rsid w:val="00427B4F"/>
    <w:rsid w:val="00435DFC"/>
    <w:rsid w:val="00437E54"/>
    <w:rsid w:val="00453E46"/>
    <w:rsid w:val="00472C49"/>
    <w:rsid w:val="00494BB6"/>
    <w:rsid w:val="004A2094"/>
    <w:rsid w:val="004B48C5"/>
    <w:rsid w:val="004E0A38"/>
    <w:rsid w:val="004E25C3"/>
    <w:rsid w:val="005102C6"/>
    <w:rsid w:val="00510E0E"/>
    <w:rsid w:val="00512AAD"/>
    <w:rsid w:val="005353CC"/>
    <w:rsid w:val="00546830"/>
    <w:rsid w:val="0055071E"/>
    <w:rsid w:val="005558AB"/>
    <w:rsid w:val="0057250E"/>
    <w:rsid w:val="00572AEB"/>
    <w:rsid w:val="00580777"/>
    <w:rsid w:val="005824BE"/>
    <w:rsid w:val="00582F35"/>
    <w:rsid w:val="005910E2"/>
    <w:rsid w:val="00591715"/>
    <w:rsid w:val="005A3093"/>
    <w:rsid w:val="005B1BDB"/>
    <w:rsid w:val="005B7C4A"/>
    <w:rsid w:val="005C475A"/>
    <w:rsid w:val="005D43EE"/>
    <w:rsid w:val="005F3BC4"/>
    <w:rsid w:val="005F5831"/>
    <w:rsid w:val="00602CA5"/>
    <w:rsid w:val="0061227C"/>
    <w:rsid w:val="00614A36"/>
    <w:rsid w:val="006176B9"/>
    <w:rsid w:val="00625F1B"/>
    <w:rsid w:val="00637F1D"/>
    <w:rsid w:val="00653724"/>
    <w:rsid w:val="00654CA7"/>
    <w:rsid w:val="00662EB7"/>
    <w:rsid w:val="00664DE8"/>
    <w:rsid w:val="006855BA"/>
    <w:rsid w:val="0068641E"/>
    <w:rsid w:val="006916D4"/>
    <w:rsid w:val="006D0B34"/>
    <w:rsid w:val="006F0098"/>
    <w:rsid w:val="006F69BD"/>
    <w:rsid w:val="006F7843"/>
    <w:rsid w:val="00715145"/>
    <w:rsid w:val="00723949"/>
    <w:rsid w:val="0073255B"/>
    <w:rsid w:val="00737A9A"/>
    <w:rsid w:val="007517B8"/>
    <w:rsid w:val="007652EC"/>
    <w:rsid w:val="00771FDF"/>
    <w:rsid w:val="007846DC"/>
    <w:rsid w:val="007B6DF5"/>
    <w:rsid w:val="007C44AE"/>
    <w:rsid w:val="007E1238"/>
    <w:rsid w:val="007E1345"/>
    <w:rsid w:val="007E136A"/>
    <w:rsid w:val="007E65E0"/>
    <w:rsid w:val="0080128E"/>
    <w:rsid w:val="00802559"/>
    <w:rsid w:val="00810ECF"/>
    <w:rsid w:val="008170E7"/>
    <w:rsid w:val="0082050C"/>
    <w:rsid w:val="00825C3C"/>
    <w:rsid w:val="00831E99"/>
    <w:rsid w:val="00835F71"/>
    <w:rsid w:val="0084017A"/>
    <w:rsid w:val="00847207"/>
    <w:rsid w:val="00861191"/>
    <w:rsid w:val="00861C94"/>
    <w:rsid w:val="00864FEB"/>
    <w:rsid w:val="00867CC1"/>
    <w:rsid w:val="00871FD3"/>
    <w:rsid w:val="00881726"/>
    <w:rsid w:val="008C48A9"/>
    <w:rsid w:val="008C61A3"/>
    <w:rsid w:val="008E0AA4"/>
    <w:rsid w:val="008E1F7A"/>
    <w:rsid w:val="008F3CEA"/>
    <w:rsid w:val="00900334"/>
    <w:rsid w:val="00926169"/>
    <w:rsid w:val="0093531F"/>
    <w:rsid w:val="00941ECC"/>
    <w:rsid w:val="0096237B"/>
    <w:rsid w:val="0097701D"/>
    <w:rsid w:val="00995263"/>
    <w:rsid w:val="00997E7A"/>
    <w:rsid w:val="009A6383"/>
    <w:rsid w:val="009B2709"/>
    <w:rsid w:val="009B6488"/>
    <w:rsid w:val="009D0014"/>
    <w:rsid w:val="009D7BF9"/>
    <w:rsid w:val="009E777D"/>
    <w:rsid w:val="009F2D76"/>
    <w:rsid w:val="00A22FAC"/>
    <w:rsid w:val="00A23D61"/>
    <w:rsid w:val="00A32CBF"/>
    <w:rsid w:val="00A5109C"/>
    <w:rsid w:val="00A62CDD"/>
    <w:rsid w:val="00A630D7"/>
    <w:rsid w:val="00A837D9"/>
    <w:rsid w:val="00A91F23"/>
    <w:rsid w:val="00A94688"/>
    <w:rsid w:val="00AC52A9"/>
    <w:rsid w:val="00AC61C5"/>
    <w:rsid w:val="00AE5863"/>
    <w:rsid w:val="00AE5A21"/>
    <w:rsid w:val="00AF62AF"/>
    <w:rsid w:val="00AF741F"/>
    <w:rsid w:val="00B05009"/>
    <w:rsid w:val="00B34B5E"/>
    <w:rsid w:val="00B402EF"/>
    <w:rsid w:val="00B41FE8"/>
    <w:rsid w:val="00B64985"/>
    <w:rsid w:val="00B85F9E"/>
    <w:rsid w:val="00B91517"/>
    <w:rsid w:val="00B9383B"/>
    <w:rsid w:val="00BA0A6B"/>
    <w:rsid w:val="00BA3D0A"/>
    <w:rsid w:val="00BB1E8E"/>
    <w:rsid w:val="00BB704A"/>
    <w:rsid w:val="00BB759C"/>
    <w:rsid w:val="00BB7DFD"/>
    <w:rsid w:val="00BC02EF"/>
    <w:rsid w:val="00BC6F99"/>
    <w:rsid w:val="00BD0966"/>
    <w:rsid w:val="00BE3A89"/>
    <w:rsid w:val="00BF0FD0"/>
    <w:rsid w:val="00BF186E"/>
    <w:rsid w:val="00C019E0"/>
    <w:rsid w:val="00C055ED"/>
    <w:rsid w:val="00C12DE0"/>
    <w:rsid w:val="00C32A9A"/>
    <w:rsid w:val="00C41EA6"/>
    <w:rsid w:val="00C44DB1"/>
    <w:rsid w:val="00C45158"/>
    <w:rsid w:val="00C455DA"/>
    <w:rsid w:val="00C621A5"/>
    <w:rsid w:val="00C66606"/>
    <w:rsid w:val="00C757F2"/>
    <w:rsid w:val="00C820CD"/>
    <w:rsid w:val="00CB505C"/>
    <w:rsid w:val="00CC4F5F"/>
    <w:rsid w:val="00CD0419"/>
    <w:rsid w:val="00CE2B78"/>
    <w:rsid w:val="00CE7E51"/>
    <w:rsid w:val="00CF2750"/>
    <w:rsid w:val="00CF6689"/>
    <w:rsid w:val="00D07B5C"/>
    <w:rsid w:val="00D10671"/>
    <w:rsid w:val="00D13F18"/>
    <w:rsid w:val="00D31E57"/>
    <w:rsid w:val="00D41DD9"/>
    <w:rsid w:val="00D45B98"/>
    <w:rsid w:val="00D474D7"/>
    <w:rsid w:val="00D7043A"/>
    <w:rsid w:val="00D72E21"/>
    <w:rsid w:val="00D8696E"/>
    <w:rsid w:val="00D87B2E"/>
    <w:rsid w:val="00D87C1A"/>
    <w:rsid w:val="00D96087"/>
    <w:rsid w:val="00D96735"/>
    <w:rsid w:val="00DA6B05"/>
    <w:rsid w:val="00DB249A"/>
    <w:rsid w:val="00DB6BD4"/>
    <w:rsid w:val="00DB6C0A"/>
    <w:rsid w:val="00DB7DA5"/>
    <w:rsid w:val="00DC5C1D"/>
    <w:rsid w:val="00DD0964"/>
    <w:rsid w:val="00DD2186"/>
    <w:rsid w:val="00DE2093"/>
    <w:rsid w:val="00DF0E0E"/>
    <w:rsid w:val="00E04362"/>
    <w:rsid w:val="00E122B5"/>
    <w:rsid w:val="00E1642C"/>
    <w:rsid w:val="00E328F6"/>
    <w:rsid w:val="00E34846"/>
    <w:rsid w:val="00E42D17"/>
    <w:rsid w:val="00E54691"/>
    <w:rsid w:val="00E70C84"/>
    <w:rsid w:val="00E747AC"/>
    <w:rsid w:val="00E82529"/>
    <w:rsid w:val="00EA0A00"/>
    <w:rsid w:val="00EA5045"/>
    <w:rsid w:val="00EB0CE7"/>
    <w:rsid w:val="00EC1F85"/>
    <w:rsid w:val="00ED3566"/>
    <w:rsid w:val="00ED41DE"/>
    <w:rsid w:val="00EE05EA"/>
    <w:rsid w:val="00F212A4"/>
    <w:rsid w:val="00F34132"/>
    <w:rsid w:val="00F5062B"/>
    <w:rsid w:val="00F50D08"/>
    <w:rsid w:val="00F5569E"/>
    <w:rsid w:val="00F56D8D"/>
    <w:rsid w:val="00F572EF"/>
    <w:rsid w:val="00F600E7"/>
    <w:rsid w:val="00F91C45"/>
    <w:rsid w:val="00F94A91"/>
    <w:rsid w:val="00F9548B"/>
    <w:rsid w:val="00F96338"/>
    <w:rsid w:val="00F97CAE"/>
    <w:rsid w:val="00FA4DB8"/>
    <w:rsid w:val="00FA5355"/>
    <w:rsid w:val="00FB1524"/>
    <w:rsid w:val="00FC1062"/>
    <w:rsid w:val="00FC51A2"/>
    <w:rsid w:val="00FD37DC"/>
    <w:rsid w:val="00FD6CE1"/>
    <w:rsid w:val="00FE0D3F"/>
    <w:rsid w:val="00FF64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2C6B"/>
  <w15:docId w15:val="{0D037D5D-B38F-461A-9E81-43885B47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suppressLineNumbers/>
      <w:tabs>
        <w:tab w:val="center" w:pos="4819"/>
        <w:tab w:val="right" w:pos="9638"/>
      </w:tabs>
    </w:pPr>
  </w:style>
  <w:style w:type="paragraph" w:customStyle="1" w:styleId="ementa">
    <w:name w:val="ementa"/>
    <w:basedOn w:val="Normal"/>
    <w:qFormat/>
    <w:pPr>
      <w:spacing w:beforeAutospacing="1" w:afterAutospacing="1"/>
    </w:pPr>
    <w:rPr>
      <w:rFonts w:ascii="Times New Roman" w:eastAsia="Times New Roman" w:hAnsi="Times New Roman" w:cs="Times New Roman"/>
    </w:rPr>
  </w:style>
  <w:style w:type="paragraph" w:customStyle="1" w:styleId="contedo">
    <w:name w:val="contedo"/>
    <w:basedOn w:val="Normal"/>
    <w:qFormat/>
    <w:pPr>
      <w:spacing w:beforeAutospacing="1" w:afterAutospacing="1"/>
    </w:pPr>
    <w:rPr>
      <w:rFonts w:ascii="Times New Roman" w:eastAsia="Times New Roman" w:hAnsi="Times New Roman" w:cs="Times New Roman"/>
    </w:rPr>
  </w:style>
  <w:style w:type="paragraph" w:styleId="SemEspaamento">
    <w:name w:val="No Spacing"/>
    <w:qFormat/>
    <w:rPr>
      <w:rFonts w:ascii="Calibri" w:eastAsia="Times New Roman" w:hAnsi="Calibri" w:cs="Calibri"/>
    </w:rPr>
  </w:style>
  <w:style w:type="paragraph" w:styleId="Rodap">
    <w:name w:val="footer"/>
    <w:basedOn w:val="Normal"/>
    <w:link w:val="RodapChar"/>
    <w:unhideWhenUsed/>
    <w:rsid w:val="00185226"/>
    <w:pPr>
      <w:tabs>
        <w:tab w:val="center" w:pos="4252"/>
        <w:tab w:val="right" w:pos="8504"/>
      </w:tabs>
    </w:pPr>
    <w:rPr>
      <w:rFonts w:cs="Mangal"/>
      <w:szCs w:val="21"/>
    </w:rPr>
  </w:style>
  <w:style w:type="character" w:customStyle="1" w:styleId="RodapChar">
    <w:name w:val="Rodapé Char"/>
    <w:basedOn w:val="Fontepargpadro"/>
    <w:link w:val="Rodap"/>
    <w:rsid w:val="00185226"/>
    <w:rPr>
      <w:rFonts w:cs="Mangal"/>
      <w:szCs w:val="21"/>
    </w:rPr>
  </w:style>
  <w:style w:type="paragraph" w:styleId="Textodebalo">
    <w:name w:val="Balloon Text"/>
    <w:basedOn w:val="Normal"/>
    <w:link w:val="TextodebaloChar"/>
    <w:uiPriority w:val="99"/>
    <w:semiHidden/>
    <w:unhideWhenUsed/>
    <w:rsid w:val="008C61A3"/>
    <w:rPr>
      <w:rFonts w:ascii="Segoe UI" w:hAnsi="Segoe UI" w:cs="Mangal"/>
      <w:sz w:val="18"/>
      <w:szCs w:val="16"/>
    </w:rPr>
  </w:style>
  <w:style w:type="character" w:customStyle="1" w:styleId="TextodebaloChar">
    <w:name w:val="Texto de balão Char"/>
    <w:basedOn w:val="Fontepargpadro"/>
    <w:link w:val="Textodebalo"/>
    <w:uiPriority w:val="99"/>
    <w:semiHidden/>
    <w:rsid w:val="008C61A3"/>
    <w:rPr>
      <w:rFonts w:ascii="Segoe UI" w:hAnsi="Segoe UI" w:cs="Mangal"/>
      <w:sz w:val="18"/>
      <w:szCs w:val="16"/>
    </w:rPr>
  </w:style>
  <w:style w:type="paragraph" w:styleId="NormalWeb">
    <w:name w:val="Normal (Web)"/>
    <w:basedOn w:val="Normal"/>
    <w:uiPriority w:val="99"/>
    <w:semiHidden/>
    <w:unhideWhenUsed/>
    <w:rsid w:val="00E42D17"/>
    <w:pPr>
      <w:spacing w:before="100" w:beforeAutospacing="1" w:after="100" w:afterAutospacing="1"/>
    </w:pPr>
    <w:rPr>
      <w:rFonts w:ascii="Times New Roman" w:eastAsiaTheme="minorEastAsia" w:hAnsi="Times New Roman" w:cs="Times New Roman"/>
      <w:kern w:val="0"/>
      <w:lang w:eastAsia="pt-BR" w:bidi="ar-SA"/>
    </w:rPr>
  </w:style>
  <w:style w:type="character" w:customStyle="1" w:styleId="s4">
    <w:name w:val="s4"/>
    <w:basedOn w:val="Fontepargpadro"/>
    <w:rsid w:val="007517B8"/>
  </w:style>
  <w:style w:type="character" w:customStyle="1" w:styleId="s3">
    <w:name w:val="s3"/>
    <w:basedOn w:val="Fontepargpadro"/>
    <w:rsid w:val="007517B8"/>
  </w:style>
  <w:style w:type="paragraph" w:customStyle="1" w:styleId="s7">
    <w:name w:val="s7"/>
    <w:basedOn w:val="Normal"/>
    <w:rsid w:val="007517B8"/>
    <w:pPr>
      <w:spacing w:before="100" w:beforeAutospacing="1" w:after="100" w:afterAutospacing="1"/>
    </w:pPr>
    <w:rPr>
      <w:rFonts w:ascii="Times New Roman" w:eastAsiaTheme="minorEastAsia" w:hAnsi="Times New Roman" w:cs="Times New Roman"/>
      <w:kern w:val="0"/>
      <w:lang w:eastAsia="pt-BR" w:bidi="ar-SA"/>
    </w:rPr>
  </w:style>
  <w:style w:type="character" w:customStyle="1" w:styleId="apple-converted-space">
    <w:name w:val="apple-converted-space"/>
    <w:basedOn w:val="Fontepargpadro"/>
    <w:rsid w:val="005B7C4A"/>
  </w:style>
  <w:style w:type="character" w:styleId="Hyperlink">
    <w:name w:val="Hyperlink"/>
    <w:basedOn w:val="Fontepargpadro"/>
    <w:uiPriority w:val="99"/>
    <w:semiHidden/>
    <w:unhideWhenUsed/>
    <w:rsid w:val="005B7C4A"/>
    <w:rPr>
      <w:color w:val="0000FF"/>
      <w:u w:val="single"/>
    </w:rPr>
  </w:style>
  <w:style w:type="character" w:styleId="Forte">
    <w:name w:val="Strong"/>
    <w:basedOn w:val="Fontepargpadro"/>
    <w:uiPriority w:val="22"/>
    <w:qFormat/>
    <w:rsid w:val="00864FEB"/>
    <w:rPr>
      <w:b/>
      <w:bCs/>
    </w:rPr>
  </w:style>
  <w:style w:type="paragraph" w:styleId="PargrafodaLista">
    <w:name w:val="List Paragraph"/>
    <w:basedOn w:val="Normal"/>
    <w:uiPriority w:val="34"/>
    <w:qFormat/>
    <w:rsid w:val="00C055ED"/>
    <w:pPr>
      <w:ind w:left="720"/>
      <w:contextualSpacing/>
    </w:pPr>
    <w:rPr>
      <w:rFonts w:cs="Mangal"/>
      <w:szCs w:val="21"/>
    </w:rPr>
  </w:style>
  <w:style w:type="character" w:customStyle="1" w:styleId="relative">
    <w:name w:val="relative"/>
    <w:basedOn w:val="Fontepargpadro"/>
    <w:rsid w:val="00C05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0393">
      <w:bodyDiv w:val="1"/>
      <w:marLeft w:val="0"/>
      <w:marRight w:val="0"/>
      <w:marTop w:val="0"/>
      <w:marBottom w:val="0"/>
      <w:divBdr>
        <w:top w:val="none" w:sz="0" w:space="0" w:color="auto"/>
        <w:left w:val="none" w:sz="0" w:space="0" w:color="auto"/>
        <w:bottom w:val="none" w:sz="0" w:space="0" w:color="auto"/>
        <w:right w:val="none" w:sz="0" w:space="0" w:color="auto"/>
      </w:divBdr>
    </w:div>
    <w:div w:id="134298699">
      <w:bodyDiv w:val="1"/>
      <w:marLeft w:val="0"/>
      <w:marRight w:val="0"/>
      <w:marTop w:val="0"/>
      <w:marBottom w:val="0"/>
      <w:divBdr>
        <w:top w:val="none" w:sz="0" w:space="0" w:color="auto"/>
        <w:left w:val="none" w:sz="0" w:space="0" w:color="auto"/>
        <w:bottom w:val="none" w:sz="0" w:space="0" w:color="auto"/>
        <w:right w:val="none" w:sz="0" w:space="0" w:color="auto"/>
      </w:divBdr>
    </w:div>
    <w:div w:id="458915213">
      <w:bodyDiv w:val="1"/>
      <w:marLeft w:val="0"/>
      <w:marRight w:val="0"/>
      <w:marTop w:val="0"/>
      <w:marBottom w:val="0"/>
      <w:divBdr>
        <w:top w:val="none" w:sz="0" w:space="0" w:color="auto"/>
        <w:left w:val="none" w:sz="0" w:space="0" w:color="auto"/>
        <w:bottom w:val="none" w:sz="0" w:space="0" w:color="auto"/>
        <w:right w:val="none" w:sz="0" w:space="0" w:color="auto"/>
      </w:divBdr>
    </w:div>
    <w:div w:id="460997965">
      <w:bodyDiv w:val="1"/>
      <w:marLeft w:val="0"/>
      <w:marRight w:val="0"/>
      <w:marTop w:val="0"/>
      <w:marBottom w:val="0"/>
      <w:divBdr>
        <w:top w:val="none" w:sz="0" w:space="0" w:color="auto"/>
        <w:left w:val="none" w:sz="0" w:space="0" w:color="auto"/>
        <w:bottom w:val="none" w:sz="0" w:space="0" w:color="auto"/>
        <w:right w:val="none" w:sz="0" w:space="0" w:color="auto"/>
      </w:divBdr>
      <w:divsChild>
        <w:div w:id="891621848">
          <w:marLeft w:val="0"/>
          <w:marRight w:val="0"/>
          <w:marTop w:val="0"/>
          <w:marBottom w:val="0"/>
          <w:divBdr>
            <w:top w:val="none" w:sz="0" w:space="0" w:color="auto"/>
            <w:left w:val="none" w:sz="0" w:space="0" w:color="auto"/>
            <w:bottom w:val="none" w:sz="0" w:space="0" w:color="auto"/>
            <w:right w:val="none" w:sz="0" w:space="0" w:color="auto"/>
          </w:divBdr>
          <w:divsChild>
            <w:div w:id="2104450399">
              <w:marLeft w:val="0"/>
              <w:marRight w:val="0"/>
              <w:marTop w:val="0"/>
              <w:marBottom w:val="0"/>
              <w:divBdr>
                <w:top w:val="none" w:sz="0" w:space="0" w:color="auto"/>
                <w:left w:val="none" w:sz="0" w:space="0" w:color="auto"/>
                <w:bottom w:val="none" w:sz="0" w:space="0" w:color="auto"/>
                <w:right w:val="none" w:sz="0" w:space="0" w:color="auto"/>
              </w:divBdr>
            </w:div>
            <w:div w:id="746418357">
              <w:marLeft w:val="0"/>
              <w:marRight w:val="0"/>
              <w:marTop w:val="0"/>
              <w:marBottom w:val="0"/>
              <w:divBdr>
                <w:top w:val="none" w:sz="0" w:space="0" w:color="auto"/>
                <w:left w:val="none" w:sz="0" w:space="0" w:color="auto"/>
                <w:bottom w:val="none" w:sz="0" w:space="0" w:color="auto"/>
                <w:right w:val="none" w:sz="0" w:space="0" w:color="auto"/>
              </w:divBdr>
            </w:div>
            <w:div w:id="1977375557">
              <w:marLeft w:val="0"/>
              <w:marRight w:val="0"/>
              <w:marTop w:val="0"/>
              <w:marBottom w:val="0"/>
              <w:divBdr>
                <w:top w:val="none" w:sz="0" w:space="0" w:color="auto"/>
                <w:left w:val="none" w:sz="0" w:space="0" w:color="auto"/>
                <w:bottom w:val="none" w:sz="0" w:space="0" w:color="auto"/>
                <w:right w:val="none" w:sz="0" w:space="0" w:color="auto"/>
              </w:divBdr>
            </w:div>
            <w:div w:id="758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3892">
      <w:bodyDiv w:val="1"/>
      <w:marLeft w:val="0"/>
      <w:marRight w:val="0"/>
      <w:marTop w:val="0"/>
      <w:marBottom w:val="0"/>
      <w:divBdr>
        <w:top w:val="none" w:sz="0" w:space="0" w:color="auto"/>
        <w:left w:val="none" w:sz="0" w:space="0" w:color="auto"/>
        <w:bottom w:val="none" w:sz="0" w:space="0" w:color="auto"/>
        <w:right w:val="none" w:sz="0" w:space="0" w:color="auto"/>
      </w:divBdr>
    </w:div>
    <w:div w:id="574169024">
      <w:bodyDiv w:val="1"/>
      <w:marLeft w:val="0"/>
      <w:marRight w:val="0"/>
      <w:marTop w:val="0"/>
      <w:marBottom w:val="0"/>
      <w:divBdr>
        <w:top w:val="none" w:sz="0" w:space="0" w:color="auto"/>
        <w:left w:val="none" w:sz="0" w:space="0" w:color="auto"/>
        <w:bottom w:val="none" w:sz="0" w:space="0" w:color="auto"/>
        <w:right w:val="none" w:sz="0" w:space="0" w:color="auto"/>
      </w:divBdr>
    </w:div>
    <w:div w:id="727458543">
      <w:bodyDiv w:val="1"/>
      <w:marLeft w:val="0"/>
      <w:marRight w:val="0"/>
      <w:marTop w:val="0"/>
      <w:marBottom w:val="0"/>
      <w:divBdr>
        <w:top w:val="none" w:sz="0" w:space="0" w:color="auto"/>
        <w:left w:val="none" w:sz="0" w:space="0" w:color="auto"/>
        <w:bottom w:val="none" w:sz="0" w:space="0" w:color="auto"/>
        <w:right w:val="none" w:sz="0" w:space="0" w:color="auto"/>
      </w:divBdr>
    </w:div>
    <w:div w:id="779880239">
      <w:bodyDiv w:val="1"/>
      <w:marLeft w:val="0"/>
      <w:marRight w:val="0"/>
      <w:marTop w:val="0"/>
      <w:marBottom w:val="0"/>
      <w:divBdr>
        <w:top w:val="none" w:sz="0" w:space="0" w:color="auto"/>
        <w:left w:val="none" w:sz="0" w:space="0" w:color="auto"/>
        <w:bottom w:val="none" w:sz="0" w:space="0" w:color="auto"/>
        <w:right w:val="none" w:sz="0" w:space="0" w:color="auto"/>
      </w:divBdr>
    </w:div>
    <w:div w:id="829754735">
      <w:bodyDiv w:val="1"/>
      <w:marLeft w:val="0"/>
      <w:marRight w:val="0"/>
      <w:marTop w:val="0"/>
      <w:marBottom w:val="0"/>
      <w:divBdr>
        <w:top w:val="none" w:sz="0" w:space="0" w:color="auto"/>
        <w:left w:val="none" w:sz="0" w:space="0" w:color="auto"/>
        <w:bottom w:val="none" w:sz="0" w:space="0" w:color="auto"/>
        <w:right w:val="none" w:sz="0" w:space="0" w:color="auto"/>
      </w:divBdr>
    </w:div>
    <w:div w:id="1143696526">
      <w:bodyDiv w:val="1"/>
      <w:marLeft w:val="0"/>
      <w:marRight w:val="0"/>
      <w:marTop w:val="0"/>
      <w:marBottom w:val="0"/>
      <w:divBdr>
        <w:top w:val="none" w:sz="0" w:space="0" w:color="auto"/>
        <w:left w:val="none" w:sz="0" w:space="0" w:color="auto"/>
        <w:bottom w:val="none" w:sz="0" w:space="0" w:color="auto"/>
        <w:right w:val="none" w:sz="0" w:space="0" w:color="auto"/>
      </w:divBdr>
    </w:div>
    <w:div w:id="1241984566">
      <w:bodyDiv w:val="1"/>
      <w:marLeft w:val="0"/>
      <w:marRight w:val="0"/>
      <w:marTop w:val="0"/>
      <w:marBottom w:val="0"/>
      <w:divBdr>
        <w:top w:val="none" w:sz="0" w:space="0" w:color="auto"/>
        <w:left w:val="none" w:sz="0" w:space="0" w:color="auto"/>
        <w:bottom w:val="none" w:sz="0" w:space="0" w:color="auto"/>
        <w:right w:val="none" w:sz="0" w:space="0" w:color="auto"/>
      </w:divBdr>
    </w:div>
    <w:div w:id="1335765976">
      <w:bodyDiv w:val="1"/>
      <w:marLeft w:val="0"/>
      <w:marRight w:val="0"/>
      <w:marTop w:val="0"/>
      <w:marBottom w:val="0"/>
      <w:divBdr>
        <w:top w:val="none" w:sz="0" w:space="0" w:color="auto"/>
        <w:left w:val="none" w:sz="0" w:space="0" w:color="auto"/>
        <w:bottom w:val="none" w:sz="0" w:space="0" w:color="auto"/>
        <w:right w:val="none" w:sz="0" w:space="0" w:color="auto"/>
      </w:divBdr>
    </w:div>
    <w:div w:id="1715931503">
      <w:bodyDiv w:val="1"/>
      <w:marLeft w:val="0"/>
      <w:marRight w:val="0"/>
      <w:marTop w:val="0"/>
      <w:marBottom w:val="0"/>
      <w:divBdr>
        <w:top w:val="none" w:sz="0" w:space="0" w:color="auto"/>
        <w:left w:val="none" w:sz="0" w:space="0" w:color="auto"/>
        <w:bottom w:val="none" w:sz="0" w:space="0" w:color="auto"/>
        <w:right w:val="none" w:sz="0" w:space="0" w:color="auto"/>
      </w:divBdr>
    </w:div>
    <w:div w:id="188810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1459</Words>
  <Characters>7879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Janiarya Lourena de Azevedo Dantas</cp:lastModifiedBy>
  <cp:revision>13</cp:revision>
  <cp:lastPrinted>2025-09-24T18:54:00Z</cp:lastPrinted>
  <dcterms:created xsi:type="dcterms:W3CDTF">2025-09-17T16:00:00Z</dcterms:created>
  <dcterms:modified xsi:type="dcterms:W3CDTF">2025-09-24T18:54:00Z</dcterms:modified>
  <dc:language>pt-BR</dc:language>
</cp:coreProperties>
</file>