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5"/>
        <w:ind w:left="2" w:right="135"/>
        <w:jc w:val="both"/>
      </w:pPr>
      <w:r>
        <w:rPr/>
        <w:t>Ata da 3ª (terceira) Reunião da Comissão Finanças e Orçamento da Câmara Municipal de Carnaúba dos Dantas/RN, Estado do Rio Grande do Norte, realizada aos 15 (quinze) dias do mês de maio de 2023 (dois mil e vinte e dois) as 11 (onze) horas, na realizada na sala dos vereadores da Câmara Municipal desta cidade, Estado do Rio Grande do Norte. Fez-se presente os integrantes da devida comissão: </w:t>
      </w:r>
      <w:r>
        <w:rPr>
          <w:rFonts w:ascii="Arial" w:hAnsi="Arial"/>
          <w:b/>
        </w:rPr>
        <w:t>José de Azevedo Dantas </w:t>
      </w:r>
      <w:r>
        <w:rPr/>
        <w:t>(Presidente), </w:t>
      </w:r>
      <w:r>
        <w:rPr>
          <w:rFonts w:ascii="Arial" w:hAnsi="Arial"/>
          <w:b/>
        </w:rPr>
        <w:t>Bárbara de Medeiros Dantas</w:t>
      </w:r>
      <w:r>
        <w:rPr>
          <w:rFonts w:ascii="Arial" w:hAnsi="Arial"/>
          <w:b/>
          <w:spacing w:val="-2"/>
        </w:rPr>
        <w:t> </w:t>
      </w:r>
      <w:r>
        <w:rPr/>
        <w:t>(Relatora)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rFonts w:ascii="Arial" w:hAnsi="Arial"/>
          <w:b/>
        </w:rPr>
        <w:t>Clésio Nelson Dantas</w:t>
      </w:r>
      <w:r>
        <w:rPr>
          <w:rFonts w:ascii="Arial" w:hAnsi="Arial"/>
          <w:b/>
          <w:spacing w:val="-2"/>
        </w:rPr>
        <w:t> </w:t>
      </w:r>
      <w:r>
        <w:rPr/>
        <w:t>(Membro).</w:t>
      </w:r>
      <w:r>
        <w:rPr>
          <w:spacing w:val="-3"/>
        </w:rPr>
        <w:t> </w:t>
      </w:r>
      <w:r>
        <w:rPr/>
        <w:t>Foi</w:t>
      </w:r>
      <w:r>
        <w:rPr>
          <w:spacing w:val="-4"/>
        </w:rPr>
        <w:t> </w:t>
      </w:r>
      <w:r>
        <w:rPr/>
        <w:t>registrado a presença da presidente Marli de Medeiros Dantas e do Edil José Gilvan Dantas.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reunião</w:t>
      </w:r>
      <w:r>
        <w:rPr>
          <w:spacing w:val="-1"/>
        </w:rPr>
        <w:t> </w:t>
      </w:r>
      <w:r>
        <w:rPr/>
        <w:t>teve</w:t>
      </w:r>
      <w:r>
        <w:rPr>
          <w:spacing w:val="-2"/>
        </w:rPr>
        <w:t> </w:t>
      </w:r>
      <w:r>
        <w:rPr/>
        <w:t>iniciou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debate</w:t>
      </w:r>
      <w:r>
        <w:rPr>
          <w:spacing w:val="-1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(s)</w:t>
      </w:r>
      <w:r>
        <w:rPr>
          <w:rFonts w:ascii="Arial" w:hAnsi="Arial"/>
          <w:b/>
          <w:u w:val="single"/>
        </w:rPr>
        <w:t> PROJETO DE LEI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u w:val="single"/>
        </w:rPr>
        <w:t>Nº 011/2023 -</w:t>
      </w:r>
      <w:r>
        <w:rPr>
          <w:rFonts w:ascii="Arial" w:hAnsi="Arial"/>
          <w:b/>
        </w:rPr>
        <w:t> </w:t>
      </w:r>
      <w:r>
        <w:rPr/>
        <w:t>DE AUTORIA DO EXECUTIVO QUE DISPÕE SOBRE A LEI DE DIRETRIZES ORÇAMENTÁRIAS PARA ELABORAÇÃO DO ORÇAMENTO GERAL DO MUNICÍPIO DE CARNAÚBA DOS DANTAS/RN, PARA O EXERCÍCIO DE 2024, E DÁ OUTRAS PROVIDÊNCIAS, </w:t>
      </w:r>
      <w:r>
        <w:rPr>
          <w:rFonts w:ascii="Arial" w:hAnsi="Arial"/>
          <w:b/>
          <w:u w:val="single"/>
        </w:rPr>
        <w:t>PROJETO DE LEI 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u w:val="single"/>
        </w:rPr>
        <w:t>012/2023 -</w:t>
      </w:r>
      <w:r>
        <w:rPr>
          <w:rFonts w:ascii="Arial" w:hAnsi="Arial"/>
          <w:b/>
        </w:rPr>
        <w:t> </w:t>
      </w:r>
      <w:r>
        <w:rPr/>
        <w:t>DE AUTORIA DO EXECUTIVO QUE AUTORIZA O PODER EXECUTIVO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CONTRATAR</w:t>
      </w:r>
      <w:r>
        <w:rPr>
          <w:spacing w:val="12"/>
        </w:rPr>
        <w:t> </w:t>
      </w:r>
      <w:r>
        <w:rPr/>
        <w:t>OPERAÇÃO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/>
        <w:t>CRÉDITO</w:t>
      </w:r>
      <w:r>
        <w:rPr>
          <w:spacing w:val="14"/>
        </w:rPr>
        <w:t> </w:t>
      </w:r>
      <w:r>
        <w:rPr/>
        <w:t>COM</w:t>
      </w:r>
      <w:r>
        <w:rPr>
          <w:spacing w:val="9"/>
        </w:rPr>
        <w:t> </w:t>
      </w:r>
      <w:r>
        <w:rPr/>
        <w:t>O</w:t>
      </w:r>
      <w:r>
        <w:rPr>
          <w:spacing w:val="11"/>
        </w:rPr>
        <w:t> </w:t>
      </w:r>
      <w:r>
        <w:rPr/>
        <w:t>BANCO</w:t>
      </w:r>
      <w:r>
        <w:rPr>
          <w:spacing w:val="13"/>
        </w:rPr>
        <w:t> </w:t>
      </w:r>
      <w:r>
        <w:rPr>
          <w:spacing w:val="-5"/>
        </w:rPr>
        <w:t>DO</w:t>
      </w:r>
    </w:p>
    <w:p>
      <w:pPr>
        <w:pStyle w:val="BodyText"/>
        <w:spacing w:line="360" w:lineRule="auto" w:before="3"/>
        <w:ind w:left="2" w:right="136"/>
        <w:jc w:val="both"/>
      </w:pPr>
      <w:r>
        <w:rPr/>
        <w:t>BRASIL S/A, E DÁ OUTRAS</w:t>
      </w:r>
      <w:r>
        <w:rPr/>
        <w:t> PROVIDÊNCIAS. Logo em seguida aconteceu uma explanação com o Senhor Rubens Dantas de Carvalho Assessor Jurídico desta Casa Legislativa sobre do projeto de lei de autoria do Executivo para contratar operação de crédito com o Banco do Brasil S/A. que esteve em pauta na 11ª (décima primeira), sessão ordinária do primeiro período legislativo, para dá seus pareceres que será apreciado e votado no dia 16 (dezesseis) de maio, onde o mesmo não recebeu e nem apresentou nenhuma emenda. Diante de tudo isso a Comissão concluiu que os Projetos em tela respeita a constitucionalidade, então chegaram ao entendimento que o mesmo será discutido e votado em plenária com o voto individual dos 09 (nove) vereadores desta Casa Legislativa para aprovação final. Quanto ao Projeto de Lei das Diretrizes Orçamentarias o mesmo continuará em analise e debate na Comissão. Não havendo mais nada a ser discutido o senhor Presidente encerrou juntamente com os membros da comissão a reunião. Eu, Bárbara de Medeiros Dantas, Relatora desta Comissão lavrei-a no dia 16 de</w:t>
      </w:r>
      <w:r>
        <w:rPr>
          <w:spacing w:val="-2"/>
        </w:rPr>
        <w:t> </w:t>
      </w:r>
      <w:r>
        <w:rPr/>
        <w:t>maio de</w:t>
      </w:r>
      <w:r>
        <w:rPr>
          <w:spacing w:val="-2"/>
        </w:rPr>
        <w:t> </w:t>
      </w:r>
      <w:r>
        <w:rPr/>
        <w:t>2023</w:t>
      </w:r>
      <w:r>
        <w:rPr>
          <w:color w:val="FF0000"/>
        </w:rPr>
        <w:t>.</w:t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Title"/>
      </w:pP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spacing w:before="137"/>
        <w:ind w:right="138"/>
        <w:jc w:val="center"/>
      </w:pPr>
      <w:r>
        <w:rPr>
          <w:spacing w:val="-2"/>
        </w:rPr>
        <w:t>Presidente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320" w:bottom="280" w:left="1700" w:right="1559"/>
        </w:sectPr>
      </w:pPr>
    </w:p>
    <w:p>
      <w:pPr>
        <w:spacing w:before="234"/>
        <w:ind w:left="2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spacing w:before="128"/>
        <w:ind w:left="2" w:right="138" w:firstLine="0"/>
        <w:jc w:val="center"/>
        <w:rPr>
          <w:sz w:val="22"/>
        </w:rPr>
      </w:pPr>
      <w:r>
        <w:rPr>
          <w:spacing w:val="-2"/>
          <w:sz w:val="22"/>
        </w:rPr>
        <w:t>Relatora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3"/>
        <w:rPr>
          <w:sz w:val="22"/>
        </w:rPr>
      </w:pPr>
    </w:p>
    <w:p>
      <w:pPr>
        <w:spacing w:before="1"/>
        <w:ind w:left="5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spacing w:before="128"/>
        <w:ind w:left="0" w:right="138" w:firstLine="0"/>
        <w:jc w:val="center"/>
        <w:rPr>
          <w:sz w:val="22"/>
        </w:rPr>
      </w:pPr>
      <w:r>
        <w:rPr>
          <w:spacing w:val="-2"/>
          <w:sz w:val="22"/>
        </w:rPr>
        <w:t>Membro</w:t>
      </w:r>
    </w:p>
    <w:sectPr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" w:right="13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2025-08-07T12:23:36Z</dcterms:created>
  <dcterms:modified xsi:type="dcterms:W3CDTF">2025-08-07T12:23:36Z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