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5"/>
        <w:ind w:left="143" w:right="134"/>
        <w:jc w:val="both"/>
      </w:pPr>
      <w:r>
        <w:rPr/>
        <w:t>Ata da 5ª (quinta) Reunião da Comissão de Legislação, Justiça e Redação</w:t>
      </w:r>
      <w:r>
        <w:rPr>
          <w:spacing w:val="40"/>
        </w:rPr>
        <w:t> </w:t>
      </w:r>
      <w:r>
        <w:rPr/>
        <w:t>Final da Câmara Municipal de Carnaúba dos Dantas/RN, Estado do Rio</w:t>
      </w:r>
      <w:r>
        <w:rPr>
          <w:spacing w:val="80"/>
        </w:rPr>
        <w:t> </w:t>
      </w:r>
      <w:r>
        <w:rPr/>
        <w:t>Grande do Norte realizada ao 01 (primeiro) dia do mês de abril de 2024 (dois mil e vinte e quatro as 10:00 (dez) horas na Sala dos vereadores da Câmara Municipal desta cidade, Estado do Rio Grande do Norte. Fez-se presente os integrantes das comissões: de</w:t>
      </w:r>
      <w:r>
        <w:rPr>
          <w:spacing w:val="80"/>
        </w:rPr>
        <w:t> </w:t>
      </w:r>
      <w:r>
        <w:rPr/>
        <w:t>Legislação e de Finanças</w:t>
      </w:r>
      <w:r>
        <w:rPr>
          <w:spacing w:val="40"/>
        </w:rPr>
        <w:t> </w:t>
      </w:r>
      <w:r>
        <w:rPr>
          <w:rFonts w:ascii="Arial" w:hAnsi="Arial"/>
          <w:b/>
        </w:rPr>
        <w:t>Marcelo de Medeiros Dantas </w:t>
      </w:r>
      <w:r>
        <w:rPr/>
        <w:t>(Presidente),</w:t>
      </w:r>
      <w:r>
        <w:rPr>
          <w:rFonts w:ascii="Arial" w:hAnsi="Arial"/>
          <w:b/>
        </w:rPr>
        <w:t>Clésio Nelson Dantas </w:t>
      </w:r>
      <w:r>
        <w:rPr/>
        <w:t>(Relator) e </w:t>
      </w:r>
      <w:r>
        <w:rPr>
          <w:rFonts w:ascii="Arial" w:hAnsi="Arial"/>
          <w:b/>
        </w:rPr>
        <w:t>José Lúcio Silva </w:t>
      </w:r>
      <w:r>
        <w:rPr/>
        <w:t>(Membro). Iniciou a reunião com debate referente aos projetos: </w:t>
      </w:r>
      <w:r>
        <w:rPr>
          <w:rFonts w:ascii="Arial" w:hAnsi="Arial"/>
          <w:b/>
          <w:u w:val="single"/>
        </w:rPr>
        <w:t>PROJETO DE LEI Nº 013/2024 – </w:t>
      </w:r>
      <w:r>
        <w:rPr/>
        <w:t>DE AUTORIA DA EDIL </w:t>
      </w:r>
      <w:r>
        <w:rPr>
          <w:rFonts w:ascii="Arial" w:hAnsi="Arial"/>
          <w:b/>
        </w:rPr>
        <w:t>BÁRBARA DE MEDEIROS DANTAS, </w:t>
      </w:r>
      <w:r>
        <w:rPr/>
        <w:t>QUE DISPÕE SOBRE</w:t>
      </w:r>
      <w:r>
        <w:rPr>
          <w:spacing w:val="-3"/>
        </w:rPr>
        <w:t> </w:t>
      </w:r>
      <w:r>
        <w:rPr/>
        <w:t>O PROGRAMA DE INCENTIVO AO TURISMO LOCAL</w:t>
      </w:r>
      <w:r>
        <w:rPr>
          <w:spacing w:val="-1"/>
        </w:rPr>
        <w:t> </w:t>
      </w:r>
      <w:r>
        <w:rPr/>
        <w:t>DO MUNICÍPIO DE CARNAUBA DOS DANTAS/RN, E DÁ OUTRAS PROVIDÊNCIAS</w:t>
      </w:r>
      <w:r>
        <w:rPr>
          <w:rFonts w:ascii="Arial" w:hAnsi="Arial"/>
          <w:b/>
        </w:rPr>
        <w:t>; </w:t>
      </w:r>
      <w:r>
        <w:rPr>
          <w:rFonts w:ascii="Arial" w:hAnsi="Arial"/>
          <w:b/>
          <w:u w:val="single"/>
        </w:rPr>
        <w:t>PROJETO DE LEI N° 015/2024 – </w:t>
      </w:r>
      <w:r>
        <w:rPr/>
        <w:t>DE</w:t>
      </w:r>
      <w:r>
        <w:rPr>
          <w:spacing w:val="40"/>
        </w:rPr>
        <w:t> </w:t>
      </w:r>
      <w:r>
        <w:rPr/>
        <w:t>AUTORIA DO </w:t>
      </w:r>
      <w:r>
        <w:rPr>
          <w:rFonts w:ascii="Arial" w:hAnsi="Arial"/>
          <w:b/>
        </w:rPr>
        <w:t>EXECUTIVO</w:t>
      </w:r>
      <w:r>
        <w:rPr/>
        <w:t>, QUE INSTITUI O ESTÁGIO PROBATÓRIO E SUAS REGRAS PARA OS SERVIDORES EFETIVOS NO ÂMBITO DO MUNICIPIO DE CARNAÚBA DOS DANTAS/RN</w:t>
      </w:r>
      <w:r>
        <w:rPr/>
        <w:t> EM</w:t>
      </w:r>
      <w:r>
        <w:rPr/>
        <w:t> ATENÇÃO AO</w:t>
      </w:r>
      <w:r>
        <w:rPr>
          <w:spacing w:val="40"/>
        </w:rPr>
        <w:t> </w:t>
      </w:r>
      <w:r>
        <w:rPr/>
        <w:t>ESTATUTO DO SERVIDOR. REVOGA A LEI N° 690/2021, ALTERA A LEI N° 423/2001</w:t>
      </w:r>
      <w:r>
        <w:rPr>
          <w:spacing w:val="61"/>
        </w:rPr>
        <w:t>  </w:t>
      </w:r>
      <w:r>
        <w:rPr/>
        <w:t>E</w:t>
      </w:r>
      <w:r>
        <w:rPr>
          <w:spacing w:val="60"/>
        </w:rPr>
        <w:t>  </w:t>
      </w:r>
      <w:r>
        <w:rPr/>
        <w:t>TODAS</w:t>
      </w:r>
      <w:r>
        <w:rPr>
          <w:spacing w:val="61"/>
        </w:rPr>
        <w:t>  </w:t>
      </w:r>
      <w:r>
        <w:rPr/>
        <w:t>AS</w:t>
      </w:r>
      <w:r>
        <w:rPr>
          <w:spacing w:val="60"/>
        </w:rPr>
        <w:t>  </w:t>
      </w:r>
      <w:r>
        <w:rPr/>
        <w:t>LEIS</w:t>
      </w:r>
      <w:r>
        <w:rPr>
          <w:spacing w:val="61"/>
        </w:rPr>
        <w:t>  </w:t>
      </w:r>
      <w:r>
        <w:rPr/>
        <w:t>DELA</w:t>
      </w:r>
      <w:r>
        <w:rPr>
          <w:spacing w:val="60"/>
        </w:rPr>
        <w:t>  </w:t>
      </w:r>
      <w:r>
        <w:rPr/>
        <w:t>DERIVADA</w:t>
      </w:r>
      <w:r>
        <w:rPr>
          <w:spacing w:val="61"/>
        </w:rPr>
        <w:t>  </w:t>
      </w:r>
      <w:r>
        <w:rPr/>
        <w:t>E</w:t>
      </w:r>
      <w:r>
        <w:rPr>
          <w:spacing w:val="60"/>
        </w:rPr>
        <w:t>  </w:t>
      </w:r>
      <w:r>
        <w:rPr/>
        <w:t>DÁ</w:t>
      </w:r>
      <w:r>
        <w:rPr>
          <w:spacing w:val="61"/>
        </w:rPr>
        <w:t>  </w:t>
      </w:r>
      <w:r>
        <w:rPr>
          <w:spacing w:val="-2"/>
        </w:rPr>
        <w:t>OUTRAS</w:t>
      </w:r>
    </w:p>
    <w:p>
      <w:pPr>
        <w:pStyle w:val="BodyText"/>
        <w:spacing w:line="360" w:lineRule="auto" w:before="3"/>
        <w:ind w:left="143" w:right="136"/>
        <w:jc w:val="both"/>
      </w:pPr>
      <w:r>
        <w:rPr/>
        <w:t>PROVIDÊNCIAS. Os representantes da comissão debateram os projetos em pauta na 5ª (quinta), reunião ordinária do primeiro período legislativo, aonde foram</w:t>
      </w:r>
      <w:r>
        <w:rPr>
          <w:spacing w:val="-2"/>
        </w:rPr>
        <w:t> </w:t>
      </w:r>
      <w:r>
        <w:rPr/>
        <w:t>analisados</w:t>
      </w:r>
      <w:r>
        <w:rPr>
          <w:spacing w:val="-2"/>
        </w:rPr>
        <w:t> </w:t>
      </w:r>
      <w:r>
        <w:rPr/>
        <w:t>pela</w:t>
      </w:r>
      <w:r>
        <w:rPr>
          <w:spacing w:val="-4"/>
        </w:rPr>
        <w:t> </w:t>
      </w:r>
      <w:r>
        <w:rPr/>
        <w:t>comissão aonde concluíram que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mesmos</w:t>
      </w:r>
      <w:r>
        <w:rPr>
          <w:spacing w:val="-5"/>
        </w:rPr>
        <w:t> </w:t>
      </w:r>
      <w:r>
        <w:rPr/>
        <w:t>respeitam</w:t>
      </w:r>
      <w:r>
        <w:rPr>
          <w:spacing w:val="-3"/>
        </w:rPr>
        <w:t> </w:t>
      </w:r>
      <w:r>
        <w:rPr/>
        <w:t>a legislação constitucional e infraconstitucional, e que atende todos os requisitos do regimento interno e a técnica legislativa. Quanto aos Projetos de Leis complementares: </w:t>
      </w:r>
      <w:r>
        <w:rPr>
          <w:rFonts w:ascii="Arial" w:hAnsi="Arial"/>
          <w:b/>
          <w:u w:val="single"/>
        </w:rPr>
        <w:t>PROJETO DE LEI COMPLEMENTAR N° 044/2024 – </w:t>
      </w:r>
      <w:r>
        <w:rPr/>
        <w:t>DE AUTORIA DA MESA DIRETORA, QUE FIXA OS SUBSÍDIOS DOS VEREADORES MUNICIPAIS PARA A LEGISLATURA 2025/2028 E DÁ OUTRAS</w:t>
      </w:r>
      <w:r>
        <w:rPr/>
        <w:t> PROVIDÊNCIAS; </w:t>
      </w:r>
      <w:r>
        <w:rPr>
          <w:rFonts w:ascii="Arial" w:hAnsi="Arial"/>
          <w:b/>
          <w:u w:val="single"/>
        </w:rPr>
        <w:t>PROJETO DE LEI COMPLEMENTAR N°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u w:val="single"/>
        </w:rPr>
        <w:t>045/2024 – </w:t>
      </w:r>
      <w:r>
        <w:rPr/>
        <w:t>DE AUTORIA DA MESA DIRETORA, QUE FIXA OS SUBSÍDIOS DO PREFEITO, VICE-PREFEITO E SECRETÁRIOS MUNICIPAIS PARA A LEGISLATURA 2025/2028 E DÁ OUTRAS</w:t>
      </w:r>
      <w:r>
        <w:rPr/>
        <w:t> PROVIDÊNCIAS; </w:t>
      </w:r>
      <w:r>
        <w:rPr>
          <w:rFonts w:ascii="Arial" w:hAnsi="Arial"/>
          <w:b/>
          <w:u w:val="single"/>
        </w:rPr>
        <w:t>PROJETO DE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u w:val="single"/>
        </w:rPr>
        <w:t>LEI COMPLEMENTAR N° 046/2024 – </w:t>
      </w:r>
      <w:r>
        <w:rPr/>
        <w:t>DE AUTORIA DO </w:t>
      </w:r>
      <w:r>
        <w:rPr>
          <w:rFonts w:ascii="Arial" w:hAnsi="Arial"/>
          <w:b/>
        </w:rPr>
        <w:t>EXECUTIVO, </w:t>
      </w:r>
      <w:r>
        <w:rPr/>
        <w:t>QUE ALTERA A LEI MUNICIPAL N° 069/2011 PARA CRIAR CARGO EM COMISSÕES E FUNÇÕES GRATIFICADAS</w:t>
      </w:r>
      <w:r>
        <w:rPr/>
        <w:t> DA</w:t>
      </w:r>
      <w:r>
        <w:rPr/>
        <w:t> SECERTARIA DE EDUCAÇÃO</w:t>
      </w:r>
      <w:r>
        <w:rPr/>
        <w:t> E</w:t>
      </w:r>
      <w:r>
        <w:rPr/>
        <w:t> DA</w:t>
      </w:r>
      <w:r>
        <w:rPr/>
        <w:t> SECRETARIA DE SAÚDE NO ÂMBITO DO PODER EXECUTIVO</w:t>
      </w:r>
      <w:r>
        <w:rPr>
          <w:spacing w:val="73"/>
          <w:w w:val="150"/>
        </w:rPr>
        <w:t> </w:t>
      </w:r>
      <w:r>
        <w:rPr/>
        <w:t>DO</w:t>
      </w:r>
      <w:r>
        <w:rPr>
          <w:spacing w:val="73"/>
          <w:w w:val="150"/>
        </w:rPr>
        <w:t> </w:t>
      </w:r>
      <w:r>
        <w:rPr/>
        <w:t>MUNICIPIO</w:t>
      </w:r>
      <w:r>
        <w:rPr>
          <w:spacing w:val="74"/>
          <w:w w:val="150"/>
        </w:rPr>
        <w:t> </w:t>
      </w:r>
      <w:r>
        <w:rPr/>
        <w:t>DE</w:t>
      </w:r>
      <w:r>
        <w:rPr>
          <w:spacing w:val="74"/>
          <w:w w:val="150"/>
        </w:rPr>
        <w:t> </w:t>
      </w:r>
      <w:r>
        <w:rPr/>
        <w:t>CARNAÚBA</w:t>
      </w:r>
      <w:r>
        <w:rPr>
          <w:spacing w:val="74"/>
          <w:w w:val="150"/>
        </w:rPr>
        <w:t> </w:t>
      </w:r>
      <w:r>
        <w:rPr/>
        <w:t>DOS</w:t>
      </w:r>
      <w:r>
        <w:rPr>
          <w:spacing w:val="73"/>
          <w:w w:val="150"/>
        </w:rPr>
        <w:t> </w:t>
      </w:r>
      <w:r>
        <w:rPr/>
        <w:t>DANTAS/RN</w:t>
      </w:r>
      <w:r>
        <w:rPr>
          <w:spacing w:val="72"/>
          <w:w w:val="150"/>
        </w:rPr>
        <w:t> </w:t>
      </w:r>
      <w:r>
        <w:rPr/>
        <w:t>E</w:t>
      </w:r>
      <w:r>
        <w:rPr>
          <w:spacing w:val="74"/>
          <w:w w:val="150"/>
        </w:rPr>
        <w:t> </w:t>
      </w:r>
      <w:r>
        <w:rPr>
          <w:spacing w:val="-5"/>
        </w:rPr>
        <w:t>DÁ</w:t>
      </w:r>
    </w:p>
    <w:p>
      <w:pPr>
        <w:pStyle w:val="BodyText"/>
        <w:spacing w:after="0" w:line="360" w:lineRule="auto"/>
        <w:jc w:val="both"/>
        <w:sectPr>
          <w:type w:val="continuous"/>
          <w:pgSz w:w="11910" w:h="16840"/>
          <w:pgMar w:top="1320" w:bottom="280" w:left="1559" w:right="1559"/>
        </w:sectPr>
      </w:pPr>
    </w:p>
    <w:p>
      <w:pPr>
        <w:pStyle w:val="BodyText"/>
        <w:spacing w:line="360" w:lineRule="auto" w:before="75"/>
        <w:ind w:left="143" w:right="135"/>
        <w:jc w:val="both"/>
      </w:pPr>
      <w:r>
        <w:rPr/>
        <w:t>OUTRAS</w:t>
      </w:r>
      <w:r>
        <w:rPr/>
        <w:t> PROVIDÊNCIAS; </w:t>
      </w:r>
      <w:r>
        <w:rPr>
          <w:rFonts w:ascii="Arial" w:hAnsi="Arial"/>
          <w:b/>
          <w:u w:val="single"/>
        </w:rPr>
        <w:t>PROJETO DE LEI COMPLEMENTAR N°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u w:val="single"/>
        </w:rPr>
        <w:t>047/2024 – </w:t>
      </w:r>
      <w:r>
        <w:rPr/>
        <w:t>DE AUTORIA DA MESA DIRETORA, QUE ALTERA A LEI COMPLEMENTAR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Nº</w:t>
      </w:r>
      <w:r>
        <w:rPr>
          <w:spacing w:val="-5"/>
        </w:rPr>
        <w:t> </w:t>
      </w:r>
      <w:r>
        <w:rPr/>
        <w:t>41/2023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ESTABELECE</w:t>
      </w:r>
      <w:r>
        <w:rPr>
          <w:spacing w:val="-3"/>
        </w:rPr>
        <w:t> </w:t>
      </w:r>
      <w:r>
        <w:rPr/>
        <w:t>REMUNERAÇÃO DO QUADRO GERAL DE CARGOS PERMANENTES</w:t>
      </w:r>
      <w:r>
        <w:rPr/>
        <w:t> DOS</w:t>
      </w:r>
      <w:r>
        <w:rPr/>
        <w:t> SERVIDORES EFETIVOS</w:t>
      </w:r>
      <w:r>
        <w:rPr>
          <w:spacing w:val="47"/>
        </w:rPr>
        <w:t> </w:t>
      </w:r>
      <w:r>
        <w:rPr/>
        <w:t>DA</w:t>
      </w:r>
      <w:r>
        <w:rPr>
          <w:spacing w:val="47"/>
        </w:rPr>
        <w:t> </w:t>
      </w:r>
      <w:r>
        <w:rPr/>
        <w:t>CÂMARA</w:t>
      </w:r>
      <w:r>
        <w:rPr>
          <w:spacing w:val="49"/>
        </w:rPr>
        <w:t> </w:t>
      </w:r>
      <w:r>
        <w:rPr/>
        <w:t>MUNICIPAL</w:t>
      </w:r>
      <w:r>
        <w:rPr>
          <w:spacing w:val="48"/>
        </w:rPr>
        <w:t> </w:t>
      </w:r>
      <w:r>
        <w:rPr/>
        <w:t>E</w:t>
      </w:r>
      <w:r>
        <w:rPr>
          <w:spacing w:val="49"/>
        </w:rPr>
        <w:t> </w:t>
      </w:r>
      <w:r>
        <w:rPr/>
        <w:t>DÁ</w:t>
      </w:r>
      <w:r>
        <w:rPr>
          <w:spacing w:val="50"/>
        </w:rPr>
        <w:t> </w:t>
      </w:r>
      <w:r>
        <w:rPr/>
        <w:t>OUTRAS</w:t>
      </w:r>
      <w:r>
        <w:rPr>
          <w:spacing w:val="49"/>
        </w:rPr>
        <w:t> </w:t>
      </w:r>
      <w:r>
        <w:rPr/>
        <w:t>PROVIDÊNCIAS.</w:t>
      </w:r>
      <w:r>
        <w:rPr>
          <w:spacing w:val="48"/>
        </w:rPr>
        <w:t> </w:t>
      </w:r>
      <w:r>
        <w:rPr>
          <w:spacing w:val="-5"/>
        </w:rPr>
        <w:t>Os</w:t>
      </w:r>
    </w:p>
    <w:p>
      <w:pPr>
        <w:spacing w:line="360" w:lineRule="auto" w:before="2"/>
        <w:ind w:left="143" w:right="135" w:firstLine="0"/>
        <w:jc w:val="both"/>
        <w:rPr>
          <w:sz w:val="24"/>
        </w:rPr>
      </w:pPr>
      <w:r>
        <w:rPr>
          <w:sz w:val="24"/>
        </w:rPr>
        <w:t>projetos, foram analisados</w:t>
      </w:r>
      <w:r>
        <w:rPr>
          <w:spacing w:val="40"/>
          <w:sz w:val="24"/>
        </w:rPr>
        <w:t> </w:t>
      </w:r>
      <w:r>
        <w:rPr>
          <w:sz w:val="24"/>
        </w:rPr>
        <w:t>não receberam e nem apresentaram nenhuma emenda. Finalizou com os pareceres</w:t>
      </w:r>
      <w:r>
        <w:rPr>
          <w:spacing w:val="40"/>
          <w:sz w:val="24"/>
        </w:rPr>
        <w:t> </w:t>
      </w:r>
      <w:r>
        <w:rPr>
          <w:sz w:val="24"/>
        </w:rPr>
        <w:t>dos Projetos de Decreto Legislativo: </w:t>
      </w:r>
      <w:r>
        <w:rPr>
          <w:rFonts w:ascii="Arial" w:hAnsi="Arial"/>
          <w:b/>
          <w:sz w:val="24"/>
          <w:u w:val="single"/>
        </w:rPr>
        <w:t>PROJETO DE DECRETO LEGISLATIVO Nº 003/2024 – </w:t>
      </w:r>
      <w:r>
        <w:rPr>
          <w:sz w:val="24"/>
        </w:rPr>
        <w:t>DE AUTORIA DO EDIL </w:t>
      </w:r>
      <w:r>
        <w:rPr>
          <w:rFonts w:ascii="Arial" w:hAnsi="Arial"/>
          <w:b/>
          <w:sz w:val="24"/>
        </w:rPr>
        <w:t>JOSÉ DE AZEVEDO DANTAS</w:t>
      </w:r>
      <w:r>
        <w:rPr>
          <w:sz w:val="24"/>
        </w:rPr>
        <w:t>, QUE CONCEDE TÍTULO DE CIDADÃ CARNAUBENSE A SENHORA </w:t>
      </w:r>
      <w:r>
        <w:rPr>
          <w:rFonts w:ascii="Arial" w:hAnsi="Arial"/>
          <w:b/>
          <w:sz w:val="24"/>
        </w:rPr>
        <w:t>JUCIELY DA SILVA BARBOSA DANTAS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DÁ OUTRAS PROVIDÊNCIAS e</w:t>
      </w:r>
      <w:r>
        <w:rPr>
          <w:rFonts w:ascii="Arial" w:hAnsi="Arial"/>
          <w:b/>
          <w:sz w:val="24"/>
          <w:u w:val="single"/>
        </w:rPr>
        <w:t> PROJETO DE DECRETO LEGISLATIVO 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004/2024 – </w:t>
      </w:r>
      <w:r>
        <w:rPr>
          <w:sz w:val="24"/>
        </w:rPr>
        <w:t>DE AUTORIA DA EDIL </w:t>
      </w:r>
      <w:r>
        <w:rPr>
          <w:rFonts w:ascii="Arial" w:hAnsi="Arial"/>
          <w:b/>
          <w:sz w:val="24"/>
        </w:rPr>
        <w:t>MARLI DE MEDEIROS DANTAS, </w:t>
      </w:r>
      <w:r>
        <w:rPr>
          <w:sz w:val="24"/>
        </w:rPr>
        <w:t>QUE CONCEDE COMENDA FELINTO LÚCIO DANTAS AO SENHOR </w:t>
      </w:r>
      <w:r>
        <w:rPr>
          <w:rFonts w:ascii="Arial" w:hAnsi="Arial"/>
          <w:b/>
          <w:sz w:val="24"/>
        </w:rPr>
        <w:t>ANTÔNIO KYLDEMIR</w:t>
      </w:r>
      <w:r>
        <w:rPr>
          <w:rFonts w:ascii="Arial" w:hAnsi="Arial"/>
          <w:b/>
          <w:spacing w:val="7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67"/>
          <w:sz w:val="24"/>
        </w:rPr>
        <w:t> </w:t>
      </w:r>
      <w:r>
        <w:rPr>
          <w:sz w:val="24"/>
        </w:rPr>
        <w:t>E</w:t>
      </w:r>
      <w:r>
        <w:rPr>
          <w:spacing w:val="62"/>
          <w:sz w:val="24"/>
        </w:rPr>
        <w:t> </w:t>
      </w:r>
      <w:r>
        <w:rPr>
          <w:sz w:val="24"/>
        </w:rPr>
        <w:t>DÁ</w:t>
      </w:r>
      <w:r>
        <w:rPr>
          <w:spacing w:val="63"/>
          <w:sz w:val="24"/>
        </w:rPr>
        <w:t> </w:t>
      </w:r>
      <w:r>
        <w:rPr>
          <w:sz w:val="24"/>
        </w:rPr>
        <w:t>OUTRAS</w:t>
      </w:r>
      <w:r>
        <w:rPr>
          <w:spacing w:val="60"/>
          <w:sz w:val="24"/>
        </w:rPr>
        <w:t> </w:t>
      </w:r>
      <w:r>
        <w:rPr>
          <w:sz w:val="24"/>
        </w:rPr>
        <w:t>PROVIDÊNCIAS.</w:t>
      </w:r>
      <w:r>
        <w:rPr>
          <w:spacing w:val="67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BodyText"/>
        <w:spacing w:line="360" w:lineRule="auto"/>
        <w:ind w:left="143" w:right="137"/>
        <w:jc w:val="both"/>
      </w:pPr>
      <w:r>
        <w:rPr/>
        <w:t>membros debateram e analisaram os projetos, e concluíram que os mesmos respeitam a legislação constitucional e infraconstitucional, e que atende todos os requisitos do regimento interno e a técnica legislativa, portanto todos são favoráveis aos pareceres. O Presidente devolve os projetos para discussão e debate em plenária, para ser discutido e votado com o voto individual dos 09 (nove)</w:t>
      </w:r>
      <w:r>
        <w:rPr/>
        <w:t> vereadores</w:t>
      </w:r>
      <w:r>
        <w:rPr/>
        <w:t> desta</w:t>
      </w:r>
      <w:r>
        <w:rPr/>
        <w:t> Casa</w:t>
      </w:r>
      <w:r>
        <w:rPr/>
        <w:t> Legislativa para aprovação final. O senhor Presidente encerrou juntamente com os membros da Comissão de Legislação, Justiça e Redação Final. Eu, Clésio Nelson Dantas, Relator desta Comissão lavrei-a no dia 01 de Abril de 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3"/>
        <w:gridCol w:w="2896"/>
        <w:gridCol w:w="2077"/>
      </w:tblGrid>
      <w:tr>
        <w:trPr>
          <w:trHeight w:val="341" w:hRule="atLeast"/>
        </w:trPr>
        <w:tc>
          <w:tcPr>
            <w:tcW w:w="3493" w:type="dxa"/>
          </w:tcPr>
          <w:p>
            <w:pPr>
              <w:pStyle w:val="TableParagraph"/>
              <w:spacing w:line="268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Marcelo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Medeiros</w:t>
            </w:r>
            <w:r>
              <w:rPr>
                <w:b/>
                <w:spacing w:val="-2"/>
                <w:sz w:val="24"/>
              </w:rPr>
              <w:t> Dantas</w:t>
            </w:r>
          </w:p>
        </w:tc>
        <w:tc>
          <w:tcPr>
            <w:tcW w:w="2896" w:type="dxa"/>
          </w:tcPr>
          <w:p>
            <w:pPr>
              <w:pStyle w:val="TableParagraph"/>
              <w:spacing w:line="268" w:lineRule="exact" w:before="0"/>
              <w:ind w:left="200"/>
              <w:rPr>
                <w:b/>
                <w:sz w:val="22"/>
              </w:rPr>
            </w:pPr>
            <w:r>
              <w:rPr>
                <w:b/>
                <w:sz w:val="24"/>
              </w:rPr>
              <w:t>Clésio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Nelson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2"/>
              </w:rPr>
              <w:t>Dantas</w:t>
            </w:r>
          </w:p>
        </w:tc>
        <w:tc>
          <w:tcPr>
            <w:tcW w:w="2077" w:type="dxa"/>
          </w:tcPr>
          <w:p>
            <w:pPr>
              <w:pStyle w:val="TableParagraph"/>
              <w:spacing w:line="240" w:lineRule="auto" w:before="11"/>
              <w:ind w:left="305"/>
              <w:rPr>
                <w:b/>
                <w:sz w:val="22"/>
              </w:rPr>
            </w:pPr>
            <w:r>
              <w:rPr>
                <w:b/>
                <w:sz w:val="22"/>
              </w:rPr>
              <w:t>José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Lúcio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Silva</w:t>
            </w:r>
          </w:p>
        </w:tc>
      </w:tr>
      <w:tr>
        <w:trPr>
          <w:trHeight w:val="341" w:hRule="atLeast"/>
        </w:trPr>
        <w:tc>
          <w:tcPr>
            <w:tcW w:w="3493" w:type="dxa"/>
          </w:tcPr>
          <w:p>
            <w:pPr>
              <w:pStyle w:val="TableParagraph"/>
              <w:ind w:left="58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Presidente</w:t>
            </w:r>
          </w:p>
        </w:tc>
        <w:tc>
          <w:tcPr>
            <w:tcW w:w="2896" w:type="dxa"/>
          </w:tcPr>
          <w:p>
            <w:pPr>
              <w:pStyle w:val="TableParagraph"/>
              <w:ind w:left="642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Relator</w:t>
            </w:r>
          </w:p>
        </w:tc>
        <w:tc>
          <w:tcPr>
            <w:tcW w:w="2077" w:type="dxa"/>
          </w:tcPr>
          <w:p>
            <w:pPr>
              <w:pStyle w:val="TableParagraph"/>
              <w:ind w:left="52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Membro</w:t>
            </w:r>
          </w:p>
        </w:tc>
      </w:tr>
    </w:tbl>
    <w:sectPr>
      <w:pgSz w:w="11910" w:h="16840"/>
      <w:pgMar w:top="13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 w:line="256" w:lineRule="exact"/>
      <w:ind w:left="5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2025-08-07T10:52:43Z</dcterms:created>
  <dcterms:modified xsi:type="dcterms:W3CDTF">2025-08-07T10:52:43Z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