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30"/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514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(1ª Sessão Extraordinária do 1º Semestre de </w:t>
      </w:r>
      <w:r>
        <w:rPr>
          <w:color w:val="212121"/>
          <w:sz w:val="39"/>
        </w:rPr>
        <w:t>2023 da 3ª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2929"/>
        <w:gridCol w:w="6732"/>
        <w:gridCol w:w="3454"/>
      </w:tblGrid>
      <w:tr>
        <w:trPr>
          <w:trHeight w:val="1079" w:hRule="atLeast"/>
        </w:trPr>
        <w:tc>
          <w:tcPr>
            <w:tcW w:w="131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92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360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673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1692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345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386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10" w:hRule="atLeast"/>
        </w:trPr>
        <w:tc>
          <w:tcPr>
            <w:tcW w:w="131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180"/>
              <w:rPr>
                <w:sz w:val="24"/>
                <w:u w:val="none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92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360" w:right="-15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Lei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40"/>
                  <w:sz w:val="24"/>
                  <w:u w:val="single" w:color="01B9F1"/>
                </w:rPr>
                <w:t> </w:t>
              </w:r>
            </w:hyperlink>
          </w:p>
        </w:tc>
        <w:tc>
          <w:tcPr>
            <w:tcW w:w="6732" w:type="dxa"/>
            <w:tcBorders>
              <w:top w:val="single" w:sz="12" w:space="0" w:color="DEE2E6"/>
            </w:tcBorders>
          </w:tcPr>
          <w:p>
            <w:pPr>
              <w:pStyle w:val="TableParagraph"/>
              <w:tabs>
                <w:tab w:pos="1692" w:val="left" w:leader="none"/>
              </w:tabs>
              <w:spacing w:line="299" w:lineRule="exact"/>
              <w:ind w:left="7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nº 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  <w:u w:val="none"/>
              </w:rPr>
              <w:tab/>
            </w:r>
            <w:r>
              <w:rPr>
                <w:color w:val="202529"/>
                <w:sz w:val="24"/>
                <w:u w:val="none"/>
              </w:rPr>
              <w:t>Dispõe sobre a revisão geral anual </w:t>
            </w:r>
            <w:r>
              <w:rPr>
                <w:color w:val="202529"/>
                <w:spacing w:val="-5"/>
                <w:sz w:val="24"/>
                <w:u w:val="none"/>
              </w:rPr>
              <w:t>da</w:t>
            </w:r>
          </w:p>
        </w:tc>
        <w:tc>
          <w:tcPr>
            <w:tcW w:w="345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386"/>
              <w:rPr>
                <w:sz w:val="24"/>
                <w:u w:val="none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before="42"/>
        <w:ind w:left="1758"/>
      </w:pPr>
      <w:hyperlink r:id="rId16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7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7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758" w:right="38" w:firstLine="0"/>
        <w:jc w:val="both"/>
        <w:rPr>
          <w:b/>
          <w:sz w:val="24"/>
        </w:rPr>
      </w:pP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Único </w:t>
      </w:r>
      <w:hyperlink r:id="rId1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2"/>
        <w:ind w:left="1758"/>
      </w:pPr>
      <w:r>
        <w:rPr/>
        <w:br w:type="column"/>
      </w:r>
      <w:r>
        <w:rPr>
          <w:color w:val="202529"/>
        </w:rPr>
        <w:t>remuneração dos servidores </w:t>
      </w:r>
      <w:r>
        <w:rPr>
          <w:color w:val="202529"/>
          <w:spacing w:val="-2"/>
        </w:rPr>
        <w:t>públicos</w:t>
      </w:r>
    </w:p>
    <w:p>
      <w:pPr>
        <w:pStyle w:val="BodyText"/>
        <w:spacing w:before="40"/>
        <w:ind w:left="1758"/>
      </w:pPr>
      <w:r>
        <w:rPr>
          <w:color w:val="202529"/>
        </w:rPr>
        <w:t>municipais de Carnaúba dos </w:t>
      </w:r>
      <w:r>
        <w:rPr>
          <w:color w:val="202529"/>
          <w:spacing w:val="-2"/>
        </w:rPr>
        <w:t>Dantas/RN,</w:t>
      </w:r>
    </w:p>
    <w:p>
      <w:pPr>
        <w:pStyle w:val="BodyText"/>
        <w:spacing w:line="271" w:lineRule="auto" w:before="41"/>
        <w:ind w:left="1758"/>
      </w:pPr>
      <w:r>
        <w:rPr>
          <w:color w:val="202529"/>
        </w:rPr>
        <w:t>referente</w:t>
      </w:r>
      <w:r>
        <w:rPr>
          <w:color w:val="202529"/>
          <w:spacing w:val="-7"/>
        </w:rPr>
        <w:t> </w:t>
      </w:r>
      <w:r>
        <w:rPr>
          <w:color w:val="202529"/>
        </w:rPr>
        <w:t>ao</w:t>
      </w:r>
      <w:r>
        <w:rPr>
          <w:color w:val="202529"/>
          <w:spacing w:val="-7"/>
        </w:rPr>
        <w:t> </w:t>
      </w:r>
      <w:r>
        <w:rPr>
          <w:color w:val="202529"/>
        </w:rPr>
        <w:t>ano</w:t>
      </w:r>
      <w:r>
        <w:rPr>
          <w:color w:val="202529"/>
          <w:spacing w:val="-7"/>
        </w:rPr>
        <w:t> </w:t>
      </w:r>
      <w:r>
        <w:rPr>
          <w:color w:val="202529"/>
        </w:rPr>
        <w:t>de</w:t>
      </w:r>
      <w:r>
        <w:rPr>
          <w:color w:val="202529"/>
          <w:spacing w:val="-7"/>
        </w:rPr>
        <w:t> </w:t>
      </w:r>
      <w:r>
        <w:rPr>
          <w:color w:val="202529"/>
        </w:rPr>
        <w:t>2023,</w:t>
      </w:r>
      <w:r>
        <w:rPr>
          <w:color w:val="202529"/>
          <w:spacing w:val="-7"/>
        </w:rPr>
        <w:t> </w:t>
      </w:r>
      <w:r>
        <w:rPr>
          <w:color w:val="202529"/>
        </w:rPr>
        <w:t>conforme</w:t>
      </w:r>
      <w:r>
        <w:rPr>
          <w:color w:val="202529"/>
          <w:spacing w:val="-7"/>
        </w:rPr>
        <w:t> </w:t>
      </w:r>
      <w:r>
        <w:rPr>
          <w:color w:val="202529"/>
        </w:rPr>
        <w:t>previsão </w:t>
      </w:r>
      <w:r>
        <w:rPr>
          <w:color w:val="202529"/>
          <w:spacing w:val="-6"/>
        </w:rPr>
        <w:t>no</w:t>
      </w:r>
    </w:p>
    <w:p>
      <w:pPr>
        <w:pStyle w:val="BodyText"/>
        <w:spacing w:line="271" w:lineRule="auto"/>
        <w:ind w:left="1758"/>
      </w:pPr>
      <w:r>
        <w:rPr>
          <w:color w:val="202529"/>
        </w:rPr>
        <w:t>art. 37, inciso X, da Constituição Federal, altera</w:t>
      </w:r>
      <w:r>
        <w:rPr>
          <w:color w:val="202529"/>
          <w:spacing w:val="-5"/>
        </w:rPr>
        <w:t> </w:t>
      </w:r>
      <w:r>
        <w:rPr>
          <w:color w:val="202529"/>
        </w:rPr>
        <w:t>o</w:t>
      </w:r>
      <w:r>
        <w:rPr>
          <w:color w:val="202529"/>
          <w:spacing w:val="-5"/>
        </w:rPr>
        <w:t> </w:t>
      </w:r>
      <w:r>
        <w:rPr>
          <w:color w:val="202529"/>
        </w:rPr>
        <w:t>anexo</w:t>
      </w:r>
      <w:r>
        <w:rPr>
          <w:color w:val="202529"/>
          <w:spacing w:val="-5"/>
        </w:rPr>
        <w:t> </w:t>
      </w:r>
      <w:r>
        <w:rPr>
          <w:color w:val="202529"/>
        </w:rPr>
        <w:t>III</w:t>
      </w:r>
      <w:r>
        <w:rPr>
          <w:color w:val="202529"/>
          <w:spacing w:val="-5"/>
        </w:rPr>
        <w:t> </w:t>
      </w:r>
      <w:r>
        <w:rPr>
          <w:color w:val="202529"/>
        </w:rPr>
        <w:t>da</w:t>
      </w:r>
      <w:r>
        <w:rPr>
          <w:color w:val="202529"/>
          <w:spacing w:val="-5"/>
        </w:rPr>
        <w:t> </w:t>
      </w:r>
      <w:r>
        <w:rPr>
          <w:color w:val="202529"/>
        </w:rPr>
        <w:t>Lei</w:t>
      </w:r>
      <w:r>
        <w:rPr>
          <w:color w:val="202529"/>
          <w:spacing w:val="-5"/>
        </w:rPr>
        <w:t> </w:t>
      </w:r>
      <w:r>
        <w:rPr>
          <w:color w:val="202529"/>
        </w:rPr>
        <w:t>1211/2022</w:t>
      </w:r>
      <w:r>
        <w:rPr>
          <w:color w:val="202529"/>
          <w:spacing w:val="-5"/>
        </w:rPr>
        <w:t> </w:t>
      </w:r>
      <w:r>
        <w:rPr>
          <w:color w:val="202529"/>
        </w:rPr>
        <w:t>(plano</w:t>
      </w:r>
      <w:r>
        <w:rPr>
          <w:color w:val="202529"/>
          <w:spacing w:val="-5"/>
        </w:rPr>
        <w:t> </w:t>
      </w:r>
      <w:r>
        <w:rPr>
          <w:color w:val="202529"/>
        </w:rPr>
        <w:t>de cargos e salários) e dá outras providências</w:t>
      </w:r>
    </w:p>
    <w:p>
      <w:pPr>
        <w:pStyle w:val="BodyText"/>
        <w:spacing w:before="37"/>
      </w:pPr>
    </w:p>
    <w:p>
      <w:pPr>
        <w:spacing w:before="0"/>
        <w:ind w:left="1758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627"/>
      </w:pPr>
      <w:r>
        <w:rPr/>
        <w:br w:type="column"/>
      </w:r>
      <w:hyperlink r:id="rId1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3357" w:space="904"/>
            <w:col w:w="6519" w:space="39"/>
            <w:col w:w="41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1" name="Image 11" descr="Logo do Interlegis 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do Interlegis 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9858375</wp:posOffset>
                </wp:positionH>
                <wp:positionV relativeFrom="paragraph">
                  <wp:posOffset>-352425</wp:posOffset>
                </wp:positionV>
                <wp:extent cx="381000" cy="381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3" name="Image 13" descr="Conteúdo acessível em Libras usando o VLibras Widget com opções dos Avatares Ícaro, Hosana ou Guga.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27.750023pt;width:30pt;height:30pt;mso-position-horizontal-relative:page;mso-position-vertical-relative:paragraph;z-index:15729664" id="docshapegroup10" coordorigin="15525,-555" coordsize="600,600">
                <v:shape style="position:absolute;left:15525;top:-555;width:600;height:600" type="#_x0000_t75" id="docshape11" alt="Conteúdo acessível em Libras usando o VLibras Widget com opções dos Avatares Ícaro, Hosana ou Guga." stroked="false">
                  <v:imagedata r:id="rId21" o:title=""/>
                </v:shape>
                <v:shape style="position:absolute;left:15525;top:-555;width:600;height:600" type="#_x0000_t75" id="docshape12" stroked="false">
                  <v:imagedata r:id="rId22" o:title=""/>
                </v:shape>
                <v:shape style="position:absolute;left:15645;top:-436;width:350;height:358" type="#_x0000_t75" id="docshape13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16" name="Image 1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Creative Commons BY SA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2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https://sapl.carnaubadosdantas.rn.leg.br/sessao/81/ordemdia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8131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https://sapl.carnaubadosdantas.rn.leg.br/sessao/81/ordemdia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126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141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136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</w:pPr>
    <w:rPr>
      <w:rFonts w:ascii="Segoe UI" w:hAnsi="Segoe UI" w:eastAsia="Segoe UI" w:cs="Segoe UI"/>
      <w:u w:val="single" w:color="000000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81/painel" TargetMode="External"/><Relationship Id="rId9" Type="http://schemas.openxmlformats.org/officeDocument/2006/relationships/hyperlink" Target="https://sapl.carnaubadosdantas.rn.leg.br/sessao/81/adicionar-varias-materias-ordem-dia/" TargetMode="External"/><Relationship Id="rId10" Type="http://schemas.openxmlformats.org/officeDocument/2006/relationships/hyperlink" Target="https://sapl.carnaubadosdantas.rn.leg.br/sessao/81/ordemdia/create" TargetMode="External"/><Relationship Id="rId11" Type="http://schemas.openxmlformats.org/officeDocument/2006/relationships/hyperlink" Target="https://sapl.carnaubadosdantas.rn.leg.br/sessao/81/ordemdia?o=-1" TargetMode="External"/><Relationship Id="rId12" Type="http://schemas.openxmlformats.org/officeDocument/2006/relationships/hyperlink" Target="https://sapl.carnaubadosdantas.rn.leg.br/sessao/81/ordemdia?o=2" TargetMode="External"/><Relationship Id="rId13" Type="http://schemas.openxmlformats.org/officeDocument/2006/relationships/hyperlink" Target="https://sapl.carnaubadosdantas.rn.leg.br/sessao/81/ordemdia?o=3" TargetMode="External"/><Relationship Id="rId14" Type="http://schemas.openxmlformats.org/officeDocument/2006/relationships/hyperlink" Target="https://sapl.carnaubadosdantas.rn.leg.br/sessao/81/ordemdia?o=4" TargetMode="External"/><Relationship Id="rId15" Type="http://schemas.openxmlformats.org/officeDocument/2006/relationships/hyperlink" Target="https://sapl.carnaubadosdantas.rn.leg.br/sessao/ordemdia/962" TargetMode="External"/><Relationship Id="rId16" Type="http://schemas.openxmlformats.org/officeDocument/2006/relationships/hyperlink" Target="https://sapl.carnaubadosdantas.rn.leg.br/materia/2542" TargetMode="External"/><Relationship Id="rId17" Type="http://schemas.openxmlformats.org/officeDocument/2006/relationships/hyperlink" Target="https://sapl.carnaubadosdantas.rn.leg.br/sessao/81/matordemdia/votnom/edit/962/2542?page=1" TargetMode="External"/><Relationship Id="rId18" Type="http://schemas.openxmlformats.org/officeDocument/2006/relationships/hyperlink" Target="https://sapl.carnaubadosdantas.rn.leg.br/media/sapl/public/materialegislativa/2023/2542/projeto_de_lei_no_001_salario_minimo.pdf" TargetMode="External"/><Relationship Id="rId19" Type="http://schemas.openxmlformats.org/officeDocument/2006/relationships/hyperlink" Target="http://www.interlegis.leg.br/" TargetMode="External"/><Relationship Id="rId20" Type="http://schemas.openxmlformats.org/officeDocument/2006/relationships/image" Target="media/image2.png"/><Relationship Id="rId21" Type="http://schemas.openxmlformats.org/officeDocument/2006/relationships/image" Target="media/image3.png"/><Relationship Id="rId22" Type="http://schemas.openxmlformats.org/officeDocument/2006/relationships/image" Target="media/image4.png"/><Relationship Id="rId23" Type="http://schemas.openxmlformats.org/officeDocument/2006/relationships/image" Target="media/image5.png"/><Relationship Id="rId24" Type="http://schemas.openxmlformats.org/officeDocument/2006/relationships/image" Target="media/image6.png"/><Relationship Id="rId25" Type="http://schemas.openxmlformats.org/officeDocument/2006/relationships/hyperlink" Target="https://creativecommons.org/" TargetMode="External"/><Relationship Id="rId26" Type="http://schemas.openxmlformats.org/officeDocument/2006/relationships/hyperlink" Target="https://creativecommons.org/licenses/by/4.0/" TargetMode="External"/><Relationship Id="rId27" Type="http://schemas.openxmlformats.org/officeDocument/2006/relationships/hyperlink" Target="https://sapl.carnaubadosdantas.rn.leg.br/api/schema/swagger-ui/" TargetMode="External"/><Relationship Id="rId28" Type="http://schemas.openxmlformats.org/officeDocument/2006/relationships/hyperlink" Target="https://carnaubadosdantas.rn.leg.br/" TargetMode="External"/><Relationship Id="rId29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2025-08-05T13:41:06Z</dcterms:created>
  <dcterms:modified xsi:type="dcterms:W3CDTF">2025-08-05T13:41:06Z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